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2DD0" w14:textId="77777777" w:rsidR="00F422D3" w:rsidRDefault="00004695">
      <w:pPr>
        <w:pStyle w:val="Heading1"/>
      </w:pPr>
      <w:r>
        <w:rPr>
          <w:rFonts w:ascii="Abadi Extra Light" w:eastAsia="Calibri" w:hAnsi="Abadi Extra Light"/>
        </w:rPr>
        <w:t>Maxillofacial Trauma During the COVID-19 Pandemic: The Effects on Facial Injuries and the Implications for the Vulnerable</w:t>
      </w:r>
    </w:p>
    <w:p w14:paraId="77DD2DD1" w14:textId="2D69D2B3" w:rsidR="00F422D3" w:rsidRDefault="008B4E2A" w:rsidP="008B4E2A">
      <w:pPr>
        <w:pStyle w:val="Heading3"/>
      </w:pPr>
      <w:r>
        <w:t>Dr Catrin Byrne, Prof. Simon Holmes</w:t>
      </w:r>
    </w:p>
    <w:p w14:paraId="19B3C1BE" w14:textId="77777777" w:rsidR="008B4E2A" w:rsidRDefault="008B4E2A"/>
    <w:p w14:paraId="77DD2DD2" w14:textId="77777777" w:rsidR="00F422D3" w:rsidRDefault="00004695">
      <w:pPr>
        <w:pStyle w:val="Heading2"/>
        <w:rPr>
          <w:rFonts w:ascii="Abadi Extra Light" w:hAnsi="Abadi Extra Light"/>
        </w:rPr>
      </w:pPr>
      <w:r>
        <w:rPr>
          <w:rFonts w:ascii="Abadi Extra Light" w:hAnsi="Abadi Extra Light"/>
        </w:rPr>
        <w:t>Abstract</w:t>
      </w:r>
    </w:p>
    <w:p w14:paraId="77DD2DD3" w14:textId="77777777" w:rsidR="00F422D3" w:rsidRDefault="00F422D3"/>
    <w:p w14:paraId="77DD2DD4" w14:textId="77777777" w:rsidR="00F422D3" w:rsidRDefault="00004695">
      <w:pPr>
        <w:pStyle w:val="Heading3"/>
        <w:rPr>
          <w:rFonts w:ascii="Abadi Extra Light" w:eastAsia="Calibri" w:hAnsi="Abadi Extra Light"/>
        </w:rPr>
      </w:pPr>
      <w:r>
        <w:rPr>
          <w:rFonts w:ascii="Abadi Extra Light" w:eastAsia="Calibri" w:hAnsi="Abadi Extra Light"/>
        </w:rPr>
        <w:t>Introduction</w:t>
      </w:r>
    </w:p>
    <w:p w14:paraId="77DD2DD5" w14:textId="2BF7F304" w:rsidR="00F422D3" w:rsidRDefault="00004695">
      <w:pPr>
        <w:spacing w:line="256" w:lineRule="auto"/>
        <w:rPr>
          <w:rFonts w:ascii="Abadi Extra Light" w:hAnsi="Abadi Extra Light"/>
        </w:rPr>
      </w:pPr>
      <w:r>
        <w:rPr>
          <w:rFonts w:ascii="Abadi Extra Light" w:hAnsi="Abadi Extra Light"/>
        </w:rPr>
        <w:t xml:space="preserve">Oral and Maxillofacial services </w:t>
      </w:r>
      <w:r w:rsidR="004F61D6">
        <w:rPr>
          <w:rFonts w:ascii="Abadi Extra Light" w:hAnsi="Abadi Extra Light"/>
        </w:rPr>
        <w:t>were</w:t>
      </w:r>
      <w:r>
        <w:rPr>
          <w:rFonts w:ascii="Abadi Extra Light" w:hAnsi="Abadi Extra Light"/>
        </w:rPr>
        <w:t xml:space="preserve"> greatly affected during the COVID-19 pandemic, by factors including reduced operating time and the need to limit face-to-face consultations. The situation</w:t>
      </w:r>
      <w:r w:rsidR="00614154">
        <w:rPr>
          <w:rFonts w:ascii="Abadi Extra Light" w:hAnsi="Abadi Extra Light"/>
        </w:rPr>
        <w:t xml:space="preserve"> </w:t>
      </w:r>
      <w:r>
        <w:rPr>
          <w:rFonts w:ascii="Abadi Extra Light" w:hAnsi="Abadi Extra Light"/>
        </w:rPr>
        <w:t xml:space="preserve">affected the ways that facial fractures </w:t>
      </w:r>
      <w:r w:rsidR="00614154">
        <w:rPr>
          <w:rFonts w:ascii="Abadi Extra Light" w:hAnsi="Abadi Extra Light"/>
        </w:rPr>
        <w:t>were</w:t>
      </w:r>
      <w:r>
        <w:rPr>
          <w:rFonts w:ascii="Abadi Extra Light" w:hAnsi="Abadi Extra Light"/>
        </w:rPr>
        <w:t xml:space="preserve"> managed, and there </w:t>
      </w:r>
      <w:r w:rsidR="00614154">
        <w:rPr>
          <w:rFonts w:ascii="Abadi Extra Light" w:hAnsi="Abadi Extra Light"/>
        </w:rPr>
        <w:t>were</w:t>
      </w:r>
      <w:r>
        <w:rPr>
          <w:rFonts w:ascii="Abadi Extra Light" w:hAnsi="Abadi Extra Light"/>
        </w:rPr>
        <w:t xml:space="preserve"> particular implications for </w:t>
      </w:r>
      <w:r w:rsidR="00614154">
        <w:rPr>
          <w:rFonts w:ascii="Abadi Extra Light" w:hAnsi="Abadi Extra Light"/>
        </w:rPr>
        <w:t>socially vulnerable people.</w:t>
      </w:r>
    </w:p>
    <w:p w14:paraId="77DD2DD6" w14:textId="77777777" w:rsidR="00F422D3" w:rsidRDefault="00004695">
      <w:pPr>
        <w:pStyle w:val="Heading3"/>
        <w:rPr>
          <w:rFonts w:ascii="Abadi Extra Light" w:eastAsia="Calibri" w:hAnsi="Abadi Extra Light"/>
        </w:rPr>
      </w:pPr>
      <w:r>
        <w:rPr>
          <w:rFonts w:ascii="Abadi Extra Light" w:eastAsia="Calibri" w:hAnsi="Abadi Extra Light"/>
        </w:rPr>
        <w:t>Method</w:t>
      </w:r>
    </w:p>
    <w:p w14:paraId="77DD2DD7" w14:textId="17598251" w:rsidR="00F422D3" w:rsidRDefault="00004695">
      <w:pPr>
        <w:spacing w:line="256" w:lineRule="auto"/>
        <w:rPr>
          <w:rFonts w:ascii="Abadi Extra Light" w:hAnsi="Abadi Extra Light"/>
        </w:rPr>
      </w:pPr>
      <w:r>
        <w:rPr>
          <w:rFonts w:ascii="Abadi Extra Light" w:hAnsi="Abadi Extra Light"/>
        </w:rPr>
        <w:t>Data w</w:t>
      </w:r>
      <w:r w:rsidR="004F61D6">
        <w:rPr>
          <w:rFonts w:ascii="Abadi Extra Light" w:hAnsi="Abadi Extra Light"/>
        </w:rPr>
        <w:t>ere</w:t>
      </w:r>
      <w:r>
        <w:rPr>
          <w:rFonts w:ascii="Abadi Extra Light" w:hAnsi="Abadi Extra Light"/>
        </w:rPr>
        <w:t xml:space="preserve"> collected on patients presenting to The Royal London Hospital </w:t>
      </w:r>
      <w:r w:rsidR="004F61D6">
        <w:rPr>
          <w:rFonts w:ascii="Abadi Extra Light" w:hAnsi="Abadi Extra Light"/>
        </w:rPr>
        <w:t xml:space="preserve">with maxillofacial trauma </w:t>
      </w:r>
      <w:r>
        <w:rPr>
          <w:rFonts w:ascii="Abadi Extra Light" w:hAnsi="Abadi Extra Light"/>
        </w:rPr>
        <w:t xml:space="preserve">during the pandemic. Medical records were used to assess the mechanisms and severity, as well as the management of injuries. </w:t>
      </w:r>
      <w:r w:rsidR="00614154">
        <w:rPr>
          <w:rFonts w:ascii="Abadi Extra Light" w:hAnsi="Abadi Extra Light"/>
        </w:rPr>
        <w:t xml:space="preserve">Vulnerable patients were highlighted. </w:t>
      </w:r>
      <w:r>
        <w:rPr>
          <w:rFonts w:ascii="Abadi Extra Light" w:hAnsi="Abadi Extra Light"/>
        </w:rPr>
        <w:t>Any complications were documented over twelve months.</w:t>
      </w:r>
    </w:p>
    <w:p w14:paraId="77DD2DD8" w14:textId="77777777" w:rsidR="00F422D3" w:rsidRDefault="00004695">
      <w:pPr>
        <w:pStyle w:val="Heading3"/>
        <w:rPr>
          <w:rFonts w:ascii="Abadi Extra Light" w:eastAsia="Calibri" w:hAnsi="Abadi Extra Light"/>
        </w:rPr>
      </w:pPr>
      <w:r>
        <w:rPr>
          <w:rFonts w:ascii="Abadi Extra Light" w:eastAsia="Calibri" w:hAnsi="Abadi Extra Light"/>
        </w:rPr>
        <w:t>Results</w:t>
      </w:r>
    </w:p>
    <w:p w14:paraId="77DD2DD9" w14:textId="77777777" w:rsidR="00F422D3" w:rsidRDefault="00004695">
      <w:pPr>
        <w:rPr>
          <w:rFonts w:ascii="Abadi Extra Light" w:hAnsi="Abadi Extra Light"/>
        </w:rPr>
      </w:pPr>
      <w:r>
        <w:rPr>
          <w:rFonts w:ascii="Abadi Extra Light" w:hAnsi="Abadi Extra Light"/>
        </w:rPr>
        <w:t>104 patients were included, of whom 34 were vulnerable. 65.22% of injuries were non-accidental; this accounted for 38.60% of the injuries to non-vulnerable people, but 82.00% of the injuries to vulnerable people. Vulnerable people were also nearly twice as likely to receive no treatment, where “no treatment” is an absence of an informed clinical decision, as opposed to conservative management.</w:t>
      </w:r>
    </w:p>
    <w:p w14:paraId="77DD2DDA" w14:textId="77777777" w:rsidR="00F422D3" w:rsidRDefault="00004695">
      <w:pPr>
        <w:pStyle w:val="Heading3"/>
        <w:rPr>
          <w:rFonts w:ascii="Abadi Extra Light" w:eastAsia="Calibri" w:hAnsi="Abadi Extra Light"/>
        </w:rPr>
      </w:pPr>
      <w:r>
        <w:rPr>
          <w:rFonts w:ascii="Abadi Extra Light" w:eastAsia="Calibri" w:hAnsi="Abadi Extra Light"/>
        </w:rPr>
        <w:t>Conclusion</w:t>
      </w:r>
    </w:p>
    <w:p w14:paraId="77DD2DDB" w14:textId="7D3087A6" w:rsidR="00F422D3" w:rsidRDefault="00004695">
      <w:r>
        <w:rPr>
          <w:rFonts w:ascii="Abadi Extra Light" w:hAnsi="Abadi Extra Light"/>
        </w:rPr>
        <w:t>During challenging conditions, the OMFS department at The Royal London Hospital made significant efforts to ensure that al</w:t>
      </w:r>
      <w:r w:rsidR="004F61D6">
        <w:rPr>
          <w:rFonts w:ascii="Abadi Extra Light" w:hAnsi="Abadi Extra Light"/>
        </w:rPr>
        <w:t>l</w:t>
      </w:r>
      <w:r>
        <w:rPr>
          <w:rFonts w:ascii="Abadi Extra Light" w:hAnsi="Abadi Extra Light"/>
        </w:rPr>
        <w:t xml:space="preserve"> their patients were appropriately treated and followed up. Although some were missed, the keeping of an on-call spreadsheet allowed the identification of patients who were not fully reviewed following their injuries. Most significantly, this audit has called to attention the continuing need to address inequity in healthcare. More </w:t>
      </w:r>
      <w:r w:rsidR="004F61D6">
        <w:rPr>
          <w:rFonts w:ascii="Abadi Extra Light" w:hAnsi="Abadi Extra Light"/>
        </w:rPr>
        <w:t>n</w:t>
      </w:r>
      <w:r>
        <w:rPr>
          <w:rFonts w:ascii="Abadi Extra Light" w:hAnsi="Abadi Extra Light"/>
        </w:rPr>
        <w:t xml:space="preserve">eeds to be done to address individual needs, </w:t>
      </w:r>
      <w:r w:rsidR="004F61D6">
        <w:rPr>
          <w:rFonts w:ascii="Abadi Extra Light" w:hAnsi="Abadi Extra Light"/>
        </w:rPr>
        <w:t>t</w:t>
      </w:r>
      <w:r>
        <w:rPr>
          <w:rFonts w:ascii="Abadi Extra Light" w:hAnsi="Abadi Extra Light"/>
        </w:rPr>
        <w:t>o facilitate equal access to healthcare for all patients where possible.</w:t>
      </w:r>
    </w:p>
    <w:p w14:paraId="77DD2DDC" w14:textId="77777777" w:rsidR="00F422D3" w:rsidRDefault="00F422D3">
      <w:pPr>
        <w:pStyle w:val="Heading2"/>
        <w:rPr>
          <w:rFonts w:ascii="Abadi Extra Light" w:hAnsi="Abadi Extra Light"/>
        </w:rPr>
      </w:pPr>
    </w:p>
    <w:p w14:paraId="77DD2DDD" w14:textId="77777777" w:rsidR="00F422D3" w:rsidRDefault="00004695">
      <w:pPr>
        <w:pStyle w:val="Heading2"/>
        <w:rPr>
          <w:rFonts w:ascii="Abadi Extra Light" w:hAnsi="Abadi Extra Light"/>
        </w:rPr>
      </w:pPr>
      <w:r>
        <w:rPr>
          <w:rFonts w:ascii="Abadi Extra Light" w:hAnsi="Abadi Extra Light"/>
        </w:rPr>
        <w:t>Introduction</w:t>
      </w:r>
    </w:p>
    <w:p w14:paraId="77DD2DDE" w14:textId="77777777" w:rsidR="00F422D3" w:rsidRDefault="00F422D3"/>
    <w:p w14:paraId="77DD2DDF" w14:textId="0F158E6A" w:rsidR="00F422D3" w:rsidRDefault="00004695">
      <w:pPr>
        <w:rPr>
          <w:rFonts w:ascii="Abadi Extra Light" w:hAnsi="Abadi Extra Light"/>
        </w:rPr>
      </w:pPr>
      <w:r>
        <w:rPr>
          <w:rFonts w:ascii="Abadi Extra Light" w:hAnsi="Abadi Extra Light"/>
        </w:rPr>
        <w:t xml:space="preserve">In March 2020, during the COVID-19 pandemic, the first UK lockdown was enforced. A mandate for healthcare systems to reduce face to face contact where possible meant that open access walk-in clinics were not feasible. At The Royal London Hospital, the oral and maxillofacial surgery (OMFS) department recognised that the loss of the walk-in trauma clinic would have a large impact on their </w:t>
      </w:r>
      <w:r w:rsidR="004F61D6">
        <w:rPr>
          <w:rFonts w:ascii="Abadi Extra Light" w:hAnsi="Abadi Extra Light"/>
        </w:rPr>
        <w:t>patient care</w:t>
      </w:r>
      <w:r>
        <w:rPr>
          <w:rFonts w:ascii="Abadi Extra Light" w:hAnsi="Abadi Extra Light"/>
        </w:rPr>
        <w:t>. Previously, patients were given the walk-in clinic details and it was up to them to attend when they could. However, without this service, patients could only be reviewed by pre-arranged appointment, either in person or by phone. This placed a lot more weight on the clinician-patient communication at the initial consultation, to ensure a mutually acceptable plan was in place for review. It is possible that these changes made accessing care more difficult for certain groups of particularly vulnerable patients, such as victims of domestic violence who might not be able to privately take phone calls at home, or homeless people who have no fixed address and no access to a telephone.</w:t>
      </w:r>
    </w:p>
    <w:p w14:paraId="77DD2DE0" w14:textId="7C1BDFB7" w:rsidR="00F422D3" w:rsidRDefault="00004695">
      <w:r>
        <w:rPr>
          <w:rFonts w:ascii="Abadi Extra Light" w:hAnsi="Abadi Extra Light"/>
        </w:rPr>
        <w:t xml:space="preserve">Furthermore, the need to divert UK hospital staff and resources to the many patients with COVID-19 meant that there was significantly reduced capacity for non-emergency operating. Holmes et al produced </w:t>
      </w:r>
      <w:r>
        <w:rPr>
          <w:rFonts w:ascii="Abadi Extra Light" w:hAnsi="Abadi Extra Light"/>
        </w:rPr>
        <w:lastRenderedPageBreak/>
        <w:t>a paper which offered guidance for OMFS surgeons on determining the best course of management for patients with facial fractures</w:t>
      </w:r>
      <w:r w:rsidR="004F61D6">
        <w:rPr>
          <w:rFonts w:ascii="Abadi Extra Light" w:hAnsi="Abadi Extra Light"/>
        </w:rPr>
        <w:t xml:space="preserve"> d</w:t>
      </w:r>
      <w:r>
        <w:rPr>
          <w:rFonts w:ascii="Abadi Extra Light" w:hAnsi="Abadi Extra Light"/>
        </w:rPr>
        <w:t>uring the pandemic</w:t>
      </w:r>
      <w:r w:rsidR="00820895">
        <w:rPr>
          <w:rFonts w:ascii="Abadi Extra Light" w:hAnsi="Abadi Extra Light"/>
        </w:rPr>
        <w:fldChar w:fldCharType="begin" w:fldLock="1"/>
      </w:r>
      <w:r w:rsidR="00820895">
        <w:rPr>
          <w:rFonts w:ascii="Abadi Extra Light" w:hAnsi="Abadi Extra Light"/>
        </w:rPr>
        <w:instrText>ADDIN CSL_CITATION {"citationItems":[{"id":"ITEM-1","itemData":{"DOI":"10.1016/j.bjoms.2020.03.024","ISSN":"15321940","abstract":"In these unprecedented times, OMFS surgeons are faced with dilemmas over the priority of treatment, safety of staff, safety of patients and the most appropriate use of available resources. Efforts should be made to provide the best evidence-based care, which will mean revisiting old techniques, and risk stratifying patients on a case by case basis. Recent experience from colleagues internationally has shown that even the wealthiest health care infrastructure is at best fragile. We hope this paper will add to the debate and hopefully provide a framework for decision making in OMFS trauma care during this difficult time.","author":[{"dropping-particle":"","family":"Holmes","given":"Simon","non-dropping-particle":"","parse-names":false,"suffix":""},{"dropping-particle":"","family":"Bhatti","given":"Nabeel","non-dropping-particle":"","parse-names":false,"suffix":""},{"dropping-particle":"","family":"Bhandari","given":"Rishi","non-dropping-particle":"","parse-names":false,"suffix":""},{"dropping-particle":"","family":"Chatzopoulou","given":"Domniki","non-dropping-particle":"","parse-names":false,"suffix":""}],"container-title":"British Journal of Oral and Maxillofacial Surgery","id":"ITEM-1","issue":"5","issued":{"date-parts":[["2020"]]},"page":"571-576","publisher":"Churchill Livingstone","title":"Toward a consensus view in the management of acute facial injuries during the Covid-19 pandemic","type":"article-journal","volume":"58"},"uris":["http://www.mendeley.com/documents/?uuid=75a88d26-5e85-3039-a964-60bc8416d152"]}],"mendeley":{"formattedCitation":"&lt;sup&gt;1&lt;/sup&gt;","plainTextFormattedCitation":"1","previouslyFormattedCitation":"&lt;sup&gt;1&lt;/sup&gt;"},"properties":{"noteIndex":0},"schema":"https://github.com/citation-style-language/schema/raw/master/csl-citation.json"}</w:instrText>
      </w:r>
      <w:r w:rsidR="00820895">
        <w:rPr>
          <w:rFonts w:ascii="Abadi Extra Light" w:hAnsi="Abadi Extra Light"/>
        </w:rPr>
        <w:fldChar w:fldCharType="separate"/>
      </w:r>
      <w:r w:rsidR="00820895" w:rsidRPr="00820895">
        <w:rPr>
          <w:rFonts w:ascii="Abadi Extra Light" w:hAnsi="Abadi Extra Light"/>
          <w:noProof/>
          <w:vertAlign w:val="superscript"/>
        </w:rPr>
        <w:t>1</w:t>
      </w:r>
      <w:r w:rsidR="00820895">
        <w:rPr>
          <w:rFonts w:ascii="Abadi Extra Light" w:hAnsi="Abadi Extra Light"/>
        </w:rPr>
        <w:fldChar w:fldCharType="end"/>
      </w:r>
      <w:r>
        <w:rPr>
          <w:rFonts w:ascii="Abadi Extra Light" w:hAnsi="Abadi Extra Light"/>
        </w:rPr>
        <w:t>. The paper suggests a classification of injuries into three groups, based on how likely their injuries are to result in complications if primary reconstruction is delayed. This helps clinicians to allocate valuable operating capacity to patients based on priority, and to identify patients whose injuries can predictably be managed conservatively.</w:t>
      </w:r>
    </w:p>
    <w:p w14:paraId="77DD2DE1" w14:textId="77777777" w:rsidR="00F422D3" w:rsidRDefault="00004695">
      <w:pPr>
        <w:rPr>
          <w:rFonts w:ascii="Abadi Extra Light" w:hAnsi="Abadi Extra Light"/>
        </w:rPr>
      </w:pPr>
      <w:r>
        <w:rPr>
          <w:rFonts w:ascii="Abadi Extra Light" w:hAnsi="Abadi Extra Light"/>
        </w:rPr>
        <w:t xml:space="preserve">With all these changes in mind, a spreadsheet was set up by the OMFS department with the aim of keeping a record of the patients seen by the on-call team, to ensure that all were appropriately followed-up. The on-call team were asked to document the name, hospital number, date of birth, injury details and outcome of every patient who was referred to them. The records could then be checked at a later date, to ensure that all necessary action had been taken. This spreadsheet, which was used throughout the first lockdown, provides an excellent opportunity to examine the practice of the department during the height of the pandemic. This audit aims to assess how well fracture management guidance was followed, and how robust the system was in ensuring that all patients, including the vulnerable, were followed up appropriately. </w:t>
      </w:r>
    </w:p>
    <w:p w14:paraId="77DD2DE2" w14:textId="77777777" w:rsidR="00F422D3" w:rsidRDefault="00F422D3">
      <w:pPr>
        <w:rPr>
          <w:rFonts w:ascii="Abadi Extra Light" w:hAnsi="Abadi Extra Light"/>
        </w:rPr>
      </w:pPr>
    </w:p>
    <w:p w14:paraId="77DD2DE3" w14:textId="77777777" w:rsidR="00F422D3" w:rsidRDefault="00004695">
      <w:pPr>
        <w:pStyle w:val="Heading2"/>
      </w:pPr>
      <w:r>
        <w:t>Method</w:t>
      </w:r>
    </w:p>
    <w:p w14:paraId="77DD2DE4" w14:textId="77777777" w:rsidR="00F422D3" w:rsidRDefault="00004695">
      <w:r>
        <w:rPr>
          <w:rFonts w:ascii="Abadi Extra Light" w:hAnsi="Abadi Extra Light"/>
        </w:rPr>
        <w:t>The data used for this audit was collected retrospectively from the OMFS on-call spreadsheet at The Royal London Hospital. Data was collected for a 3-month period between the 22</w:t>
      </w:r>
      <w:r>
        <w:rPr>
          <w:rFonts w:ascii="Abadi Extra Light" w:hAnsi="Abadi Extra Light"/>
          <w:vertAlign w:val="superscript"/>
        </w:rPr>
        <w:t>nd</w:t>
      </w:r>
      <w:r>
        <w:rPr>
          <w:rFonts w:ascii="Abadi Extra Light" w:hAnsi="Abadi Extra Light"/>
        </w:rPr>
        <w:t xml:space="preserve"> of March 2020, which was when the first patient with a fracture was entered into the spreadsheet, and the 23</w:t>
      </w:r>
      <w:r>
        <w:rPr>
          <w:rFonts w:ascii="Abadi Extra Light" w:hAnsi="Abadi Extra Light"/>
          <w:vertAlign w:val="superscript"/>
        </w:rPr>
        <w:t>rd</w:t>
      </w:r>
      <w:r>
        <w:rPr>
          <w:rFonts w:ascii="Abadi Extra Light" w:hAnsi="Abadi Extra Light"/>
        </w:rPr>
        <w:t xml:space="preserve"> of June 2020, which marked the end of the first UK lockdown. Patients were screened based on the referral details that were entered into the spreadsheet. For all entries that indicated a fracture might have been present, or where there was insufficient information to rule out a fracture, the full medical record was assessed. All patients entered into the spreadsheet who were referred and found to have at least one facial fracture were included.</w:t>
      </w:r>
    </w:p>
    <w:p w14:paraId="77DD2DE5" w14:textId="77777777" w:rsidR="00F422D3" w:rsidRDefault="00004695">
      <w:pPr>
        <w:rPr>
          <w:rFonts w:ascii="Abadi Extra Light" w:hAnsi="Abadi Extra Light"/>
        </w:rPr>
      </w:pPr>
      <w:r>
        <w:rPr>
          <w:rFonts w:ascii="Abadi Extra Light" w:hAnsi="Abadi Extra Light"/>
        </w:rPr>
        <w:t>The medical records of the included patients, including relevant imaging, were used to ascertain the mechanism and extent of each injury. Fractures were grouped according to their Holmes classification. Additionally, note was taken of any features which highlighted a patient as vulnerable. Patients who were deemed to be vulnerable included survivors of domestic abuse, individuals involved in gang violence, people with significant mental illness, those in prison, the homeless, and people with ongoing drug and/or alcohol abuse. Any patients where a safeguarding referral had been accepted were also highlighted as vulnerable.</w:t>
      </w:r>
    </w:p>
    <w:p w14:paraId="77DD2DE6" w14:textId="2E458E92" w:rsidR="00F422D3" w:rsidRDefault="00004695">
      <w:pPr>
        <w:rPr>
          <w:rFonts w:ascii="Abadi Extra Light" w:hAnsi="Abadi Extra Light"/>
        </w:rPr>
      </w:pPr>
      <w:r>
        <w:rPr>
          <w:rFonts w:ascii="Abadi Extra Light" w:hAnsi="Abadi Extra Light"/>
        </w:rPr>
        <w:t>The management of each injury was determined, based on the clinical notes. Management was classified into one of the following groups; Prompt surgical management, Delayed Surgical Management, Prompt IMF</w:t>
      </w:r>
      <w:r w:rsidR="004F61D6">
        <w:rPr>
          <w:rFonts w:ascii="Abadi Extra Light" w:hAnsi="Abadi Extra Light"/>
        </w:rPr>
        <w:t xml:space="preserve"> (intermaxillary fixation)</w:t>
      </w:r>
      <w:r>
        <w:rPr>
          <w:rFonts w:ascii="Abadi Extra Light" w:hAnsi="Abadi Extra Light"/>
        </w:rPr>
        <w:t>, Delayed IMF, Conservative Management, or No Treatment. For the purposes of the audit, “prompt” was defined as happening within 2 weeks of the initial injury. “Conservative management” was defined as being an informed decision made by a clinician and/or the patient that conservative management was the best course of action based on the patient’s clinical and personal situation, after any planned reviews had taken place. The decision must not have been influenced by difficulties in contacting the patient. This was to ensure that non-treatment in vulnerable people, who are more likely to be difficult to contact, was not overlooked. Any instances where these criteria were not met were designated as “No Treatment”.</w:t>
      </w:r>
    </w:p>
    <w:p w14:paraId="77DD2DE7" w14:textId="77777777" w:rsidR="00F422D3" w:rsidRDefault="00004695">
      <w:pPr>
        <w:rPr>
          <w:rFonts w:ascii="Abadi Extra Light" w:hAnsi="Abadi Extra Light"/>
        </w:rPr>
      </w:pPr>
      <w:r>
        <w:rPr>
          <w:rFonts w:ascii="Abadi Extra Light" w:hAnsi="Abadi Extra Light"/>
        </w:rPr>
        <w:t>All values presented in this report are correct to 2 significant figures.</w:t>
      </w:r>
    </w:p>
    <w:p w14:paraId="77DD2DE8" w14:textId="77777777" w:rsidR="00F422D3" w:rsidRDefault="00004695">
      <w:pPr>
        <w:pStyle w:val="Heading3"/>
        <w:rPr>
          <w:rFonts w:ascii="Abadi Extra Light" w:hAnsi="Abadi Extra Light"/>
        </w:rPr>
      </w:pPr>
      <w:r>
        <w:rPr>
          <w:rFonts w:ascii="Abadi Extra Light" w:hAnsi="Abadi Extra Light"/>
        </w:rPr>
        <w:t>Standards</w:t>
      </w:r>
    </w:p>
    <w:p w14:paraId="77DD2DE9" w14:textId="77777777" w:rsidR="00F422D3" w:rsidRDefault="00004695">
      <w:pPr>
        <w:rPr>
          <w:rFonts w:ascii="Abadi Extra Light" w:hAnsi="Abadi Extra Light"/>
        </w:rPr>
      </w:pPr>
      <w:r>
        <w:rPr>
          <w:rFonts w:ascii="Abadi Extra Light" w:hAnsi="Abadi Extra Light"/>
        </w:rPr>
        <w:t xml:space="preserve">The ideal standard for follow up of referred patients would be that all patients should have been followed up by the department. However, the authors acknowledge that sometimes patients choose not to engage with follow-up. Therefore, this audit looked at whether attempts had been made by the department to contact the patient, if it had been indicated that further contact was required. The </w:t>
      </w:r>
      <w:r>
        <w:rPr>
          <w:rFonts w:ascii="Abadi Extra Light" w:hAnsi="Abadi Extra Light"/>
        </w:rPr>
        <w:lastRenderedPageBreak/>
        <w:t>standard was set that 0% of patients should go without review due to a failure of the department to reach out to them.</w:t>
      </w:r>
    </w:p>
    <w:p w14:paraId="77DD2DEA" w14:textId="48A85FD9" w:rsidR="00F422D3" w:rsidRDefault="00004695">
      <w:pPr>
        <w:rPr>
          <w:rFonts w:ascii="Abadi Extra Light" w:hAnsi="Abadi Extra Light"/>
        </w:rPr>
      </w:pPr>
      <w:r>
        <w:rPr>
          <w:rFonts w:ascii="Abadi Extra Light" w:hAnsi="Abadi Extra Light"/>
        </w:rPr>
        <w:t>The second standard was that management of fractures should reflect the suggestions of Holmes et al. That is to say that fractures in Group 1 should have been strongly considered for operative management, that fractures in Group 3 should have been managed conservatively</w:t>
      </w:r>
      <w:r w:rsidR="00C85B44">
        <w:rPr>
          <w:rFonts w:ascii="Abadi Extra Light" w:hAnsi="Abadi Extra Light"/>
        </w:rPr>
        <w:t>, and that the management of fractures in Group 2 should fall somewhere in between</w:t>
      </w:r>
      <w:r>
        <w:rPr>
          <w:rFonts w:ascii="Abadi Extra Light" w:hAnsi="Abadi Extra Light"/>
        </w:rPr>
        <w:t xml:space="preserve">. This was assessed </w:t>
      </w:r>
      <w:r w:rsidR="00614154">
        <w:rPr>
          <w:rFonts w:ascii="Abadi Extra Light" w:hAnsi="Abadi Extra Light"/>
        </w:rPr>
        <w:t xml:space="preserve">globally, </w:t>
      </w:r>
      <w:r>
        <w:rPr>
          <w:rFonts w:ascii="Abadi Extra Light" w:hAnsi="Abadi Extra Light"/>
        </w:rPr>
        <w:t xml:space="preserve">rather than </w:t>
      </w:r>
      <w:r w:rsidR="00614154">
        <w:rPr>
          <w:rFonts w:ascii="Abadi Extra Light" w:hAnsi="Abadi Extra Light"/>
        </w:rPr>
        <w:t xml:space="preserve">by setting a </w:t>
      </w:r>
      <w:r w:rsidR="00C85B44">
        <w:rPr>
          <w:rFonts w:ascii="Abadi Extra Light" w:hAnsi="Abadi Extra Light"/>
        </w:rPr>
        <w:t>specific numerical target</w:t>
      </w:r>
      <w:r>
        <w:rPr>
          <w:rFonts w:ascii="Abadi Extra Light" w:hAnsi="Abadi Extra Light"/>
        </w:rPr>
        <w:t xml:space="preserve">, as patient factors mean that classifications such as these cannot be followed in every clinical scenario. </w:t>
      </w:r>
    </w:p>
    <w:p w14:paraId="77DD2DEB" w14:textId="77777777" w:rsidR="00F422D3" w:rsidRDefault="00004695">
      <w:pPr>
        <w:rPr>
          <w:rFonts w:ascii="Abadi Extra Light" w:hAnsi="Abadi Extra Light"/>
        </w:rPr>
      </w:pPr>
      <w:r>
        <w:rPr>
          <w:rFonts w:ascii="Abadi Extra Light" w:hAnsi="Abadi Extra Light"/>
        </w:rPr>
        <w:t xml:space="preserve">Finally, a third standard was set that the outcomes of the vulnerable should not be significantly worse than those of the general populations. </w:t>
      </w:r>
    </w:p>
    <w:p w14:paraId="77DD2DEC" w14:textId="77777777" w:rsidR="00F422D3" w:rsidRDefault="00004695">
      <w:pPr>
        <w:pStyle w:val="Heading2"/>
        <w:rPr>
          <w:rFonts w:ascii="Abadi Extra Light" w:hAnsi="Abadi Extra Light"/>
        </w:rPr>
      </w:pPr>
      <w:r>
        <w:rPr>
          <w:rFonts w:ascii="Abadi Extra Light" w:hAnsi="Abadi Extra Light"/>
        </w:rPr>
        <w:t>Results</w:t>
      </w:r>
    </w:p>
    <w:p w14:paraId="77DD2DED" w14:textId="77777777" w:rsidR="00F422D3" w:rsidRDefault="00004695">
      <w:pPr>
        <w:rPr>
          <w:rFonts w:ascii="Abadi Extra Light" w:hAnsi="Abadi Extra Light"/>
        </w:rPr>
      </w:pPr>
      <w:r>
        <w:rPr>
          <w:rFonts w:ascii="Abadi Extra Light" w:hAnsi="Abadi Extra Light"/>
        </w:rPr>
        <w:t xml:space="preserve">At total of 104 patients met the criteria for inclusion, of whom 34 were deemed to be vulnerable. 23 were seen in the first month, of whom 10 were vulnerable (43.48%). In the second month there were 32 patients, of whom 21 were vulnerable (65.63%). The third month saw 42 patients, of whom 8 were vulnerable (19.05%). </w:t>
      </w:r>
    </w:p>
    <w:p w14:paraId="77DD2DEE" w14:textId="77777777" w:rsidR="00F422D3" w:rsidRDefault="00004695">
      <w:pPr>
        <w:rPr>
          <w:rFonts w:ascii="Abadi Extra Light" w:hAnsi="Abadi Extra Light"/>
        </w:rPr>
      </w:pPr>
      <w:r>
        <w:rPr>
          <w:rFonts w:ascii="Abadi Extra Light" w:hAnsi="Abadi Extra Light"/>
        </w:rPr>
        <w:t>The types of injuries also changed over the 3 months; in the first month, 65.22% of injuries were classed as non-accidental. This figure decreased in months 2 and 3 to 43.75% and 45.24% respectively. The vast majority of accidental injuries happened outside, with only 14.9% of accidental injuries taking place indoors. Over the whole 3-month period, the most common mechanism of injury was accidental injury outdoors, followed by intentional injury by an unknown person. There were 2 patients who were unsure of the mechanism of their injuries (Fig. 1). Vulnerable people presented with more non-accidental injuries, with 28 of the 34 vulnerable patients having non-accidental injuries (82.00%), compared to just 21 of the 70 non-vulnerable people (38.60%).</w:t>
      </w:r>
    </w:p>
    <w:p w14:paraId="77DD2DEF" w14:textId="77777777" w:rsidR="00F422D3" w:rsidRDefault="00004695">
      <w:r>
        <w:rPr>
          <w:noProof/>
          <w:lang w:eastAsia="en-GB"/>
        </w:rPr>
        <w:drawing>
          <wp:inline distT="0" distB="0" distL="0" distR="0" wp14:anchorId="77DD2DD0" wp14:editId="77DD2DD1">
            <wp:extent cx="3200400" cy="2743200"/>
            <wp:effectExtent l="0" t="0" r="0" b="0"/>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Abadi Extra Light" w:hAnsi="Abadi Extra Light"/>
        </w:rPr>
        <w:br/>
      </w:r>
      <w:r>
        <w:rPr>
          <w:rFonts w:ascii="Abadi Extra Light" w:hAnsi="Abadi Extra Light"/>
          <w:i/>
          <w:iCs/>
          <w:sz w:val="18"/>
          <w:szCs w:val="18"/>
        </w:rPr>
        <w:t>Figure 1. The mechanisms of injury of facial fractures seen between 22/03/20 and 23/06/20.</w:t>
      </w:r>
    </w:p>
    <w:p w14:paraId="77DD2DF0" w14:textId="77777777" w:rsidR="00F422D3" w:rsidRDefault="00004695">
      <w:pPr>
        <w:rPr>
          <w:rFonts w:ascii="Abadi Extra Light" w:hAnsi="Abadi Extra Light"/>
        </w:rPr>
      </w:pPr>
      <w:r>
        <w:rPr>
          <w:rFonts w:ascii="Abadi Extra Light" w:hAnsi="Abadi Extra Light"/>
        </w:rPr>
        <w:t>Of the 104 patients, 21 were classified as having had no treatment. In 13 cases attempts were made by the team to contact the patients, but contact was ultimately unsuccessful. In the remaining 8 cases the lack of definitive management was due to a failure of the OMFS team to follow up on plans to review the patient. This means that sufficient follow-up was not attempted in 7.69% of cases.</w:t>
      </w:r>
    </w:p>
    <w:p w14:paraId="77DD2DF1" w14:textId="77777777" w:rsidR="00F422D3" w:rsidRDefault="00004695">
      <w:pPr>
        <w:rPr>
          <w:rFonts w:ascii="Abadi Extra Light" w:hAnsi="Abadi Extra Light"/>
        </w:rPr>
      </w:pPr>
      <w:r>
        <w:rPr>
          <w:rFonts w:ascii="Abadi Extra Light" w:hAnsi="Abadi Extra Light"/>
        </w:rPr>
        <w:t xml:space="preserve">In terms of injury severity, 7 patients were identified as having fractures in Group 1; severe fracture patterns with a high likelihood of complication if not promptly operated on. 6 of the 7 Group 1 fractures </w:t>
      </w:r>
      <w:r>
        <w:rPr>
          <w:rFonts w:ascii="Abadi Extra Light" w:hAnsi="Abadi Extra Light"/>
        </w:rPr>
        <w:lastRenderedPageBreak/>
        <w:t>were in people identified as vulnerable. There were 47 fractures classified as Group 2, and 50 in Group 3.</w:t>
      </w:r>
    </w:p>
    <w:p w14:paraId="77DD2DF2" w14:textId="77777777" w:rsidR="00F422D3" w:rsidRDefault="00004695">
      <w:pPr>
        <w:rPr>
          <w:rFonts w:ascii="Abadi Extra Light" w:hAnsi="Abadi Extra Light"/>
        </w:rPr>
      </w:pPr>
      <w:r>
        <w:rPr>
          <w:rFonts w:ascii="Abadi Extra Light" w:hAnsi="Abadi Extra Light"/>
        </w:rPr>
        <w:t>On the whole, patients’ injuries were managed according to the Holmes classification, with 71.43% of Group 1 fractures being actively treated (Fig. 2), and 88% of Group 3 fractures being managed conservatively (Fig. 4). Group 2 fractures had more mixed results, with 57.45% of cases having some form of active treatment, but 29.79% having no treatment at all (Fig. 3). Of the patients who received no treatment, 19 of them have had no further contact with the department.</w:t>
      </w:r>
    </w:p>
    <w:p w14:paraId="77DD2DF3" w14:textId="77777777" w:rsidR="00F422D3" w:rsidRDefault="00F422D3">
      <w:pPr>
        <w:rPr>
          <w:rFonts w:ascii="Abadi Extra Light" w:hAnsi="Abadi Extra Light"/>
        </w:rPr>
      </w:pPr>
    </w:p>
    <w:p w14:paraId="77DD2DF4" w14:textId="77777777" w:rsidR="00F422D3" w:rsidRDefault="00004695">
      <w:r>
        <w:rPr>
          <w:noProof/>
          <w:lang w:eastAsia="en-GB"/>
        </w:rPr>
        <w:drawing>
          <wp:inline distT="0" distB="0" distL="0" distR="0" wp14:anchorId="77DD2DD2" wp14:editId="77DD2DD3">
            <wp:extent cx="3178811" cy="2701923"/>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Abadi Extra Light" w:hAnsi="Abadi Extra Light"/>
        </w:rPr>
        <w:br/>
      </w:r>
      <w:r>
        <w:rPr>
          <w:rFonts w:ascii="Abadi Extra Light" w:hAnsi="Abadi Extra Light"/>
          <w:i/>
          <w:iCs/>
          <w:sz w:val="18"/>
          <w:szCs w:val="18"/>
        </w:rPr>
        <w:t>Figure 2. The management of fractures seen between 22/03/20 and 23/06/20, classified as Holmes Group 1.</w:t>
      </w:r>
    </w:p>
    <w:p w14:paraId="77DD2DF5" w14:textId="77777777" w:rsidR="00F422D3" w:rsidRDefault="00004695">
      <w:r>
        <w:rPr>
          <w:noProof/>
          <w:lang w:eastAsia="en-GB"/>
        </w:rPr>
        <w:drawing>
          <wp:inline distT="0" distB="0" distL="0" distR="0" wp14:anchorId="77DD2DD4" wp14:editId="77DD2DD5">
            <wp:extent cx="3189600" cy="2716526"/>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badi Extra Light" w:hAnsi="Abadi Extra Light"/>
        </w:rPr>
        <w:br/>
      </w:r>
      <w:r>
        <w:rPr>
          <w:rFonts w:ascii="Abadi Extra Light" w:hAnsi="Abadi Extra Light"/>
          <w:i/>
          <w:iCs/>
          <w:sz w:val="18"/>
          <w:szCs w:val="18"/>
        </w:rPr>
        <w:t>Figure 3. The management of fractures seen between 22/03/20 and 23/06/20, classified as Holmes Group 2.</w:t>
      </w:r>
    </w:p>
    <w:p w14:paraId="77DD2DF6" w14:textId="77777777" w:rsidR="00F422D3" w:rsidRDefault="00004695">
      <w:r>
        <w:rPr>
          <w:noProof/>
          <w:lang w:eastAsia="en-GB"/>
        </w:rPr>
        <w:lastRenderedPageBreak/>
        <w:drawing>
          <wp:inline distT="0" distB="0" distL="0" distR="0" wp14:anchorId="77DD2DD6" wp14:editId="77DD2DD7">
            <wp:extent cx="3189600" cy="2789550"/>
            <wp:effectExtent l="0" t="0" r="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Abadi Extra Light" w:hAnsi="Abadi Extra Light"/>
        </w:rPr>
        <w:br/>
      </w:r>
      <w:r>
        <w:rPr>
          <w:rFonts w:ascii="Abadi Extra Light" w:hAnsi="Abadi Extra Light"/>
          <w:i/>
          <w:iCs/>
          <w:sz w:val="18"/>
          <w:szCs w:val="18"/>
        </w:rPr>
        <w:t>Figure 4. The management of fractures seen between 22/03/20 and 23/06/20, classified as Holmes Group 3.</w:t>
      </w:r>
    </w:p>
    <w:p w14:paraId="77DD2DF7" w14:textId="77777777" w:rsidR="00F422D3" w:rsidRDefault="00F422D3">
      <w:pPr>
        <w:rPr>
          <w:rFonts w:ascii="Abadi Extra Light" w:hAnsi="Abadi Extra Light"/>
        </w:rPr>
      </w:pPr>
    </w:p>
    <w:p w14:paraId="77DD2DF8" w14:textId="77777777" w:rsidR="00F422D3" w:rsidRDefault="00004695">
      <w:pPr>
        <w:rPr>
          <w:rFonts w:ascii="Abadi Extra Light" w:hAnsi="Abadi Extra Light"/>
        </w:rPr>
      </w:pPr>
      <w:r>
        <w:rPr>
          <w:rFonts w:ascii="Abadi Extra Light" w:hAnsi="Abadi Extra Light"/>
        </w:rPr>
        <w:t xml:space="preserve">Complications were recorded in 10 cases. All of the complications that were documented occurred in patients with Holmes Group 2 fractures. Of those, 5 were treated promptly, 1 had delayed treatment, 1 was managed conservatively, and 3 were not treated. </w:t>
      </w:r>
    </w:p>
    <w:p w14:paraId="77DD2DF9" w14:textId="77777777" w:rsidR="00F422D3" w:rsidRDefault="00004695">
      <w:pPr>
        <w:rPr>
          <w:rFonts w:ascii="Abadi Extra Light" w:hAnsi="Abadi Extra Light"/>
        </w:rPr>
      </w:pPr>
      <w:r>
        <w:rPr>
          <w:rFonts w:ascii="Abadi Extra Light" w:hAnsi="Abadi Extra Light"/>
        </w:rPr>
        <w:t>When comparing the outcomes of the two groups of patients, 29.41% of vulnerable patients received no treatment, compared to 15.71% of non-vulnerable patients. Complications were documented within the year following presentation for 3 of the 34 vulnerable patients (8.82%), and 7 of the 70 non vulnerable patients (10%).</w:t>
      </w:r>
    </w:p>
    <w:p w14:paraId="77DD2DFA" w14:textId="77777777" w:rsidR="00F422D3" w:rsidRDefault="00F422D3">
      <w:pPr>
        <w:rPr>
          <w:rFonts w:ascii="Abadi Extra Light" w:hAnsi="Abadi Extra Light"/>
        </w:rPr>
      </w:pPr>
    </w:p>
    <w:p w14:paraId="77DD2DFB" w14:textId="77777777" w:rsidR="00F422D3" w:rsidRDefault="00004695">
      <w:pPr>
        <w:pStyle w:val="Heading2"/>
        <w:rPr>
          <w:rFonts w:ascii="Abadi Extra Light" w:hAnsi="Abadi Extra Light"/>
        </w:rPr>
      </w:pPr>
      <w:r>
        <w:rPr>
          <w:rFonts w:ascii="Abadi Extra Light" w:hAnsi="Abadi Extra Light"/>
        </w:rPr>
        <w:t>Analysis</w:t>
      </w:r>
    </w:p>
    <w:p w14:paraId="77DD2DFC" w14:textId="5B2CDDC9" w:rsidR="00F422D3" w:rsidRDefault="004F61D6">
      <w:pPr>
        <w:rPr>
          <w:rFonts w:ascii="Abadi Extra Light" w:hAnsi="Abadi Extra Light"/>
        </w:rPr>
      </w:pPr>
      <w:r>
        <w:rPr>
          <w:rFonts w:ascii="Abadi Extra Light" w:hAnsi="Abadi Extra Light"/>
        </w:rPr>
        <w:t>T</w:t>
      </w:r>
      <w:r w:rsidR="00004695">
        <w:rPr>
          <w:rFonts w:ascii="Abadi Extra Light" w:hAnsi="Abadi Extra Light"/>
        </w:rPr>
        <w:t xml:space="preserve">he standard of 0% failure to follow up </w:t>
      </w:r>
      <w:r>
        <w:rPr>
          <w:rFonts w:ascii="Abadi Extra Light" w:hAnsi="Abadi Extra Light"/>
        </w:rPr>
        <w:t>was almost attained</w:t>
      </w:r>
      <w:r w:rsidR="00004695">
        <w:rPr>
          <w:rFonts w:ascii="Abadi Extra Light" w:hAnsi="Abadi Extra Light"/>
        </w:rPr>
        <w:t xml:space="preserve">. Attempts were made to follow up 92.31% of patients, and </w:t>
      </w:r>
      <w:r w:rsidR="00820895">
        <w:rPr>
          <w:rFonts w:ascii="Abadi Extra Light" w:hAnsi="Abadi Extra Light"/>
        </w:rPr>
        <w:t xml:space="preserve">the team </w:t>
      </w:r>
      <w:r w:rsidR="00004695">
        <w:rPr>
          <w:rFonts w:ascii="Abadi Extra Light" w:hAnsi="Abadi Extra Light"/>
        </w:rPr>
        <w:t xml:space="preserve">succeeded in following up 79.81%. There is certainly improvement to be made, but it is good to see that a significant majority of patients were followed up, especially given that this was, at the time, an entirely </w:t>
      </w:r>
      <w:r>
        <w:rPr>
          <w:rFonts w:ascii="Abadi Extra Light" w:hAnsi="Abadi Extra Light"/>
        </w:rPr>
        <w:t>novel clinical environment</w:t>
      </w:r>
      <w:r w:rsidR="00004695">
        <w:rPr>
          <w:rFonts w:ascii="Abadi Extra Light" w:hAnsi="Abadi Extra Light"/>
        </w:rPr>
        <w:t>.</w:t>
      </w:r>
    </w:p>
    <w:p w14:paraId="77DD2DFD" w14:textId="4983D334" w:rsidR="00F422D3" w:rsidRDefault="00004695">
      <w:pPr>
        <w:rPr>
          <w:rFonts w:ascii="Abadi Extra Light" w:hAnsi="Abadi Extra Light"/>
        </w:rPr>
      </w:pPr>
      <w:r>
        <w:rPr>
          <w:rFonts w:ascii="Abadi Extra Light" w:hAnsi="Abadi Extra Light"/>
        </w:rPr>
        <w:t>Whilst it is regrettable that 8 patients were identified who were not contacted by the department for follow-up, this audit has demonstrated that using a spreadsheet to track patient progress and outcomes is an effective strategy to ensure that the eventual identification of such patients is possible.</w:t>
      </w:r>
      <w:r w:rsidR="004F61D6">
        <w:rPr>
          <w:rFonts w:ascii="Abadi Extra Light" w:hAnsi="Abadi Extra Light"/>
        </w:rPr>
        <w:t xml:space="preserve"> </w:t>
      </w:r>
    </w:p>
    <w:p w14:paraId="77DD2DFE" w14:textId="31E7171A" w:rsidR="00F422D3" w:rsidRDefault="004F61D6">
      <w:pPr>
        <w:rPr>
          <w:rFonts w:ascii="Abadi Extra Light" w:hAnsi="Abadi Extra Light"/>
        </w:rPr>
      </w:pPr>
      <w:r>
        <w:rPr>
          <w:rFonts w:ascii="Abadi Extra Light" w:hAnsi="Abadi Extra Light"/>
        </w:rPr>
        <w:t>The Holmes classification works</w:t>
      </w:r>
      <w:r w:rsidR="00004695">
        <w:rPr>
          <w:rFonts w:ascii="Abadi Extra Light" w:hAnsi="Abadi Extra Light"/>
        </w:rPr>
        <w:t xml:space="preserve"> well as a tool for classifying injuries in a way that makes it easy to prioritise the most severe fractures. Its use in this audit also draws attention to the fact that, whilst decision-making seems clear at the extremes of the spectrum, there might be ambiguity around how to treat injuries in Group 2. </w:t>
      </w:r>
      <w:r w:rsidR="00C85B44">
        <w:rPr>
          <w:rFonts w:ascii="Abadi Extra Light" w:hAnsi="Abadi Extra Light"/>
        </w:rPr>
        <w:t>It is interesting to note</w:t>
      </w:r>
      <w:r w:rsidR="00004695">
        <w:rPr>
          <w:rFonts w:ascii="Abadi Extra Light" w:hAnsi="Abadi Extra Light"/>
        </w:rPr>
        <w:t xml:space="preserve"> that all the recorded complications occurred within cases of Group 2 injuries</w:t>
      </w:r>
      <w:r w:rsidR="00C85B44">
        <w:rPr>
          <w:rFonts w:ascii="Abadi Extra Light" w:hAnsi="Abadi Extra Light"/>
        </w:rPr>
        <w:t>. This</w:t>
      </w:r>
      <w:r w:rsidR="00004695">
        <w:rPr>
          <w:rFonts w:ascii="Abadi Extra Light" w:hAnsi="Abadi Extra Light"/>
        </w:rPr>
        <w:t xml:space="preserve"> indicates that </w:t>
      </w:r>
      <w:r w:rsidR="00C85B44">
        <w:rPr>
          <w:rFonts w:ascii="Abadi Extra Light" w:hAnsi="Abadi Extra Light"/>
        </w:rPr>
        <w:t>perhaps there were</w:t>
      </w:r>
      <w:r w:rsidR="00004695">
        <w:rPr>
          <w:rFonts w:ascii="Abadi Extra Light" w:hAnsi="Abadi Extra Light"/>
        </w:rPr>
        <w:t xml:space="preserve"> cases which would have been better managed with alternative courses of action in the first instance.</w:t>
      </w:r>
    </w:p>
    <w:p w14:paraId="77DD2DFF" w14:textId="7E81BC56" w:rsidR="00F422D3" w:rsidRDefault="00004695">
      <w:pPr>
        <w:rPr>
          <w:rFonts w:ascii="Abadi Extra Light" w:hAnsi="Abadi Extra Light"/>
        </w:rPr>
      </w:pPr>
      <w:r>
        <w:rPr>
          <w:rFonts w:ascii="Abadi Extra Light" w:hAnsi="Abadi Extra Light"/>
        </w:rPr>
        <w:t>It is saddening to see that not only did vulnerable people ma</w:t>
      </w:r>
      <w:r w:rsidR="004F61D6">
        <w:rPr>
          <w:rFonts w:ascii="Abadi Extra Light" w:hAnsi="Abadi Extra Light"/>
        </w:rPr>
        <w:t>ke</w:t>
      </w:r>
      <w:r>
        <w:rPr>
          <w:rFonts w:ascii="Abadi Extra Light" w:hAnsi="Abadi Extra Light"/>
        </w:rPr>
        <w:t xml:space="preserve"> up a significant proportion of the patients seen, they were also more likely to present with more serious injuries. Furthermore, they were disproportionately represented in the patients who received no treatment for their injuries, and those who were not contactable for follow-up. </w:t>
      </w:r>
    </w:p>
    <w:p w14:paraId="77DD2E00" w14:textId="31F5CE20" w:rsidR="00F422D3" w:rsidRDefault="00004695">
      <w:pPr>
        <w:rPr>
          <w:rFonts w:ascii="Abadi Extra Light" w:hAnsi="Abadi Extra Light"/>
        </w:rPr>
      </w:pPr>
      <w:r>
        <w:rPr>
          <w:rFonts w:ascii="Abadi Extra Light" w:hAnsi="Abadi Extra Light"/>
        </w:rPr>
        <w:lastRenderedPageBreak/>
        <w:t xml:space="preserve">Anecdotally, there were several instances where it was clear from the clinical notes at the time of presentation that a patient was known to be homeless or to not have their own phone, </w:t>
      </w:r>
      <w:r w:rsidR="004F61D6">
        <w:rPr>
          <w:rFonts w:ascii="Abadi Extra Light" w:hAnsi="Abadi Extra Light"/>
        </w:rPr>
        <w:t>and</w:t>
      </w:r>
      <w:r>
        <w:rPr>
          <w:rFonts w:ascii="Abadi Extra Light" w:hAnsi="Abadi Extra Light"/>
        </w:rPr>
        <w:t xml:space="preserve"> telephone consultations were still planned, with notes indicating that patients had given a friend or family member’s phone number, or would borrow a phone for the appointment. These patients were often not able to be contacted. This may have been because the clinicians felt that they had been told face-to-face appointments should be limited to those with severe clinical injuries, although they had clearly recognised that a phone appointment would be difficult for the patient in question.</w:t>
      </w:r>
    </w:p>
    <w:p w14:paraId="77DD2E01" w14:textId="6DFBDE42" w:rsidR="00F422D3" w:rsidRDefault="00004695">
      <w:pPr>
        <w:rPr>
          <w:rFonts w:ascii="Abadi Extra Light" w:hAnsi="Abadi Extra Light"/>
        </w:rPr>
      </w:pPr>
      <w:r>
        <w:rPr>
          <w:rFonts w:ascii="Abadi Extra Light" w:hAnsi="Abadi Extra Light"/>
        </w:rPr>
        <w:t xml:space="preserve">Similarly, there were many instances where patients who were noted to not speak any English were given telephone appointments, which were then very difficult and usually resulted in the patient subsequently being brought in for a face-to-face appointment anyway. There was also one patient given a telephone appointment for review even though he was deaf. Thankfully the clinician had also obtained an email address for the patient, so they were contacted and brought in for a face-to-face appointment. This is another instance where it appears from the notes as though </w:t>
      </w:r>
      <w:r w:rsidR="004F61D6">
        <w:rPr>
          <w:rFonts w:ascii="Abadi Extra Light" w:hAnsi="Abadi Extra Light"/>
        </w:rPr>
        <w:t>the c</w:t>
      </w:r>
      <w:r>
        <w:rPr>
          <w:rFonts w:ascii="Abadi Extra Light" w:hAnsi="Abadi Extra Light"/>
        </w:rPr>
        <w:t xml:space="preserve">linician recognised </w:t>
      </w:r>
      <w:r w:rsidR="004F61D6">
        <w:rPr>
          <w:rFonts w:ascii="Abadi Extra Light" w:hAnsi="Abadi Extra Light"/>
        </w:rPr>
        <w:t>the</w:t>
      </w:r>
      <w:r>
        <w:rPr>
          <w:rFonts w:ascii="Abadi Extra Light" w:hAnsi="Abadi Extra Light"/>
        </w:rPr>
        <w:t xml:space="preserve"> patient’s individual needs, yet felt unable to offer them an appropriate review appointment within the constraints of the system.</w:t>
      </w:r>
    </w:p>
    <w:p w14:paraId="77DD2E02" w14:textId="77777777" w:rsidR="00F422D3" w:rsidRDefault="00F422D3">
      <w:pPr>
        <w:rPr>
          <w:rFonts w:ascii="Abadi Extra Light" w:hAnsi="Abadi Extra Light"/>
        </w:rPr>
      </w:pPr>
    </w:p>
    <w:p w14:paraId="77DD2E03" w14:textId="77777777" w:rsidR="00F422D3" w:rsidRDefault="00004695">
      <w:pPr>
        <w:pStyle w:val="Heading3"/>
      </w:pPr>
      <w:r>
        <w:t>Limitations</w:t>
      </w:r>
    </w:p>
    <w:p w14:paraId="6714D0FA" w14:textId="77777777" w:rsidR="00820895" w:rsidRDefault="00820895">
      <w:pPr>
        <w:rPr>
          <w:rFonts w:ascii="Abadi Extra Light" w:hAnsi="Abadi Extra Light"/>
        </w:rPr>
      </w:pPr>
      <w:r w:rsidRPr="00820895">
        <w:rPr>
          <w:rFonts w:ascii="Abadi Extra Light" w:hAnsi="Abadi Extra Light"/>
        </w:rPr>
        <w:t>There were limitations to this audit, which should not be overlooked. The first was that the data were collected from the on-call spreadsheet, and the completeness of the data relied on the junior clinicians documenting every single patient referred to them. It is possible that some referred patients were not documented on the spreadsheet at all, due to human error, so the data cannot be regarded as complete.</w:t>
      </w:r>
    </w:p>
    <w:p w14:paraId="77DD2E05" w14:textId="78B23128" w:rsidR="00F422D3" w:rsidRDefault="00004695">
      <w:pPr>
        <w:rPr>
          <w:rFonts w:ascii="Abadi Extra Light" w:hAnsi="Abadi Extra Light"/>
        </w:rPr>
      </w:pPr>
      <w:r>
        <w:rPr>
          <w:rFonts w:ascii="Abadi Extra Light" w:hAnsi="Abadi Extra Light"/>
        </w:rPr>
        <w:t>Secondly, the definition of “conservative management” used meant that planned reviews had to be followed up on. Therefore, in cases where it was decided that the patient should be reviewed but was not seen again, the outcome was categorised as “No Treatment”, even if a decision for conservative management was later recorded in the notes. Many of these might well have been for conservative management if the patients had been reviewed, but for the purposes of this audit it was important not to overlook them.</w:t>
      </w:r>
    </w:p>
    <w:p w14:paraId="007C6FC5" w14:textId="6C21DCEC" w:rsidR="00820895" w:rsidRDefault="00820895">
      <w:pPr>
        <w:rPr>
          <w:rFonts w:ascii="Abadi Extra Light" w:hAnsi="Abadi Extra Light"/>
        </w:rPr>
      </w:pPr>
      <w:r w:rsidRPr="00820895">
        <w:rPr>
          <w:rFonts w:ascii="Abadi Extra Light" w:hAnsi="Abadi Extra Light"/>
        </w:rPr>
        <w:t xml:space="preserve">It is possible that some </w:t>
      </w:r>
      <w:r>
        <w:rPr>
          <w:rFonts w:ascii="Abadi Extra Light" w:hAnsi="Abadi Extra Light"/>
        </w:rPr>
        <w:t xml:space="preserve">cases </w:t>
      </w:r>
      <w:r w:rsidRPr="00820895">
        <w:rPr>
          <w:rFonts w:ascii="Abadi Extra Light" w:hAnsi="Abadi Extra Light"/>
        </w:rPr>
        <w:t>were resolved, but not documented. For example, decisions may have been made after talking to patients on the telephone or the ward, or after talking to more senior clinicians, but not recorded in the clinical notes.  However, it is the obligation of healthcare professionals to keep accurate and contemporaneous records, including all decision making about patient care</w:t>
      </w:r>
      <w:r>
        <w:rPr>
          <w:rFonts w:ascii="Abadi Extra Light" w:hAnsi="Abadi Extra Light"/>
        </w:rPr>
        <w:fldChar w:fldCharType="begin" w:fldLock="1"/>
      </w:r>
      <w:r>
        <w:rPr>
          <w:rFonts w:ascii="Abadi Extra Light" w:hAnsi="Abadi Extra Light"/>
        </w:rPr>
        <w:instrText>ADDIN CSL_CITATION {"citationItems":[{"id":"ITEM-1","itemData":{"URL":"https://www.gmc-uk.org/ethical-guidance/ethical-guidance-for-doctors/good-medical-practice/domain-1---knowledge-skills-and-performance#paragraph-19","accessed":{"date-parts":[["2021","9","26"]]},"author":[{"dropping-particle":"","family":"General Medical Council","given":"","non-dropping-particle":"","parse-names":false,"suffix":""}],"container-title":"Good Medical Practice","id":"ITEM-1","issued":{"date-parts":[["2019","4","29"]]},"title":"Domain 1 - Knowledge skills and performance - GMC","type":"webpage"},"uris":["http://www.mendeley.com/documents/?uuid=dddd8d73-139b-3786-b130-c2907d96625d"]}],"mendeley":{"formattedCitation":"&lt;sup&gt;2&lt;/sup&gt;","plainTextFormattedCitation":"2","previouslyFormattedCitation":"&lt;sup&gt;2&lt;/sup&gt;"},"properties":{"noteIndex":0},"schema":"https://github.com/citation-style-language/schema/raw/master/csl-citation.json"}</w:instrText>
      </w:r>
      <w:r>
        <w:rPr>
          <w:rFonts w:ascii="Abadi Extra Light" w:hAnsi="Abadi Extra Light"/>
        </w:rPr>
        <w:fldChar w:fldCharType="separate"/>
      </w:r>
      <w:r w:rsidRPr="00820895">
        <w:rPr>
          <w:rFonts w:ascii="Abadi Extra Light" w:hAnsi="Abadi Extra Light"/>
          <w:noProof/>
          <w:vertAlign w:val="superscript"/>
        </w:rPr>
        <w:t>2</w:t>
      </w:r>
      <w:r>
        <w:rPr>
          <w:rFonts w:ascii="Abadi Extra Light" w:hAnsi="Abadi Extra Light"/>
        </w:rPr>
        <w:fldChar w:fldCharType="end"/>
      </w:r>
      <w:r w:rsidRPr="00820895">
        <w:rPr>
          <w:rFonts w:ascii="Abadi Extra Light" w:hAnsi="Abadi Extra Light"/>
        </w:rPr>
        <w:t>. Although patients might be satisfied with a treatment decision being made but not recorded, compared to receiving No Treatment, it is still not an acceptable outcome.</w:t>
      </w:r>
    </w:p>
    <w:p w14:paraId="77DD2E07" w14:textId="0016A9CB" w:rsidR="00F422D3" w:rsidRDefault="00004695">
      <w:pPr>
        <w:rPr>
          <w:rFonts w:ascii="Abadi Extra Light" w:hAnsi="Abadi Extra Light"/>
        </w:rPr>
      </w:pPr>
      <w:r>
        <w:rPr>
          <w:rFonts w:ascii="Abadi Extra Light" w:hAnsi="Abadi Extra Light"/>
        </w:rPr>
        <w:t>Finally, the figure of 10 recorded complications might be smaller than the actual number, as there were 19 cases where contact between the department and the patient was discontinued before management was concluded. There were also a further 4 cases where review was planned following treatment, but did not take place. It is possible that any number of these patients experienced complications, but have either not sought further treatment or have received care elsewhere.</w:t>
      </w:r>
    </w:p>
    <w:p w14:paraId="77DD2E08" w14:textId="77777777" w:rsidR="00F422D3" w:rsidRDefault="00F422D3">
      <w:pPr>
        <w:rPr>
          <w:rFonts w:ascii="Abadi Extra Light" w:hAnsi="Abadi Extra Light"/>
        </w:rPr>
      </w:pPr>
    </w:p>
    <w:p w14:paraId="77DD2E09" w14:textId="77777777" w:rsidR="00F422D3" w:rsidRDefault="00004695">
      <w:pPr>
        <w:pStyle w:val="Heading2"/>
        <w:rPr>
          <w:rFonts w:ascii="Abadi Extra Light" w:hAnsi="Abadi Extra Light"/>
        </w:rPr>
      </w:pPr>
      <w:r>
        <w:rPr>
          <w:rFonts w:ascii="Abadi Extra Light" w:hAnsi="Abadi Extra Light"/>
        </w:rPr>
        <w:t>Conclusions</w:t>
      </w:r>
    </w:p>
    <w:p w14:paraId="77DD2E0A" w14:textId="77777777" w:rsidR="00F422D3" w:rsidRDefault="00004695">
      <w:pPr>
        <w:rPr>
          <w:rFonts w:ascii="Abadi Extra Light" w:hAnsi="Abadi Extra Light"/>
        </w:rPr>
      </w:pPr>
      <w:r>
        <w:rPr>
          <w:rFonts w:ascii="Abadi Extra Light" w:hAnsi="Abadi Extra Light"/>
        </w:rPr>
        <w:t>During extremely challenging conditions, the OMFS department at The Royal London Hospital made significant efforts to ensure that all their patients were appropriately treated and followed up. Although some were missed, the keeping of an on-call spreadsheet allowed the identification of patients who were not fully reviewed following their injuries. Following this audit, those patients will be contacted to apologise for the delay in reviewing them and to determine whether they have any outstanding issues related to their initial injuries, so that treatment can be offered where appropriate.</w:t>
      </w:r>
    </w:p>
    <w:p w14:paraId="77DD2E0B" w14:textId="77777777" w:rsidR="00F422D3" w:rsidRDefault="00004695">
      <w:pPr>
        <w:rPr>
          <w:rFonts w:ascii="Abadi Extra Light" w:hAnsi="Abadi Extra Light"/>
        </w:rPr>
      </w:pPr>
      <w:r>
        <w:rPr>
          <w:rFonts w:ascii="Abadi Extra Light" w:hAnsi="Abadi Extra Light"/>
        </w:rPr>
        <w:lastRenderedPageBreak/>
        <w:t>The Holmes classification was a useful tool when evaluating treatment decision retrospectively, and called attention to possible confusion surrounding fracture patterns in Group 2. It might be useful in future for clinicians to consider the Holmes classification when determining the management plan for new injuries. Perhaps this would result in further consideration specifically for Group 2 fractures.</w:t>
      </w:r>
    </w:p>
    <w:p w14:paraId="77DD2E0C" w14:textId="445A1886" w:rsidR="00F422D3" w:rsidRDefault="00004695">
      <w:r>
        <w:rPr>
          <w:rFonts w:ascii="Abadi Extra Light" w:hAnsi="Abadi Extra Light"/>
        </w:rPr>
        <w:t>Most significantly, this audit has called to attention the continuing need to address inequity in healthcare. Health equity means that everyone should have “a fair opportunity to attain their full health potential”, wherever possible</w:t>
      </w:r>
      <w:r w:rsidR="00820895">
        <w:rPr>
          <w:rFonts w:ascii="Abadi Extra Light" w:hAnsi="Abadi Extra Light"/>
        </w:rPr>
        <w:fldChar w:fldCharType="begin" w:fldLock="1"/>
      </w:r>
      <w:r w:rsidR="00820895">
        <w:rPr>
          <w:rFonts w:ascii="Abadi Extra Light" w:hAnsi="Abadi Extra Light"/>
        </w:rPr>
        <w:instrText>ADDIN CSL_CITATION {"citationItems":[{"id":"ITEM-1","itemData":{"DOI":"10.2190/986L-LHQ6-2VTE-YRRN","abstract":"In 1984, the 32 member states of the World Health Organization European Region took a remarkable step forward in agreeing unanimously on 38 targets for a common health policy for the Region. Not on...","author":[{"dropping-particle":"","family":"Whitehead","given":"Margaret","non-dropping-particle":"","parse-names":false,"suffix":""}],"container-title":"International Journal of Health Services","id":"ITEM-1","issue":"3","issued":{"date-parts":[["1992","7","1"]]},"page":"429-445","publisher":"SAGE PublicationsSage CA: Los Angeles, CA","title":"The Concepts and Principles of Equity and Health","type":"article-journal","volume":"22"},"uris":["http://www.mendeley.com/documents/?uuid=81fea23b-999a-329d-9caa-31a1a5276bcf"]}],"mendeley":{"formattedCitation":"&lt;sup&gt;3&lt;/sup&gt;","plainTextFormattedCitation":"3"},"properties":{"noteIndex":0},"schema":"https://github.com/citation-style-language/schema/raw/master/csl-citation.json"}</w:instrText>
      </w:r>
      <w:r w:rsidR="00820895">
        <w:rPr>
          <w:rFonts w:ascii="Abadi Extra Light" w:hAnsi="Abadi Extra Light"/>
        </w:rPr>
        <w:fldChar w:fldCharType="separate"/>
      </w:r>
      <w:r w:rsidR="00820895" w:rsidRPr="00820895">
        <w:rPr>
          <w:rFonts w:ascii="Abadi Extra Light" w:hAnsi="Abadi Extra Light"/>
          <w:noProof/>
          <w:vertAlign w:val="superscript"/>
        </w:rPr>
        <w:t>3</w:t>
      </w:r>
      <w:r w:rsidR="00820895">
        <w:rPr>
          <w:rFonts w:ascii="Abadi Extra Light" w:hAnsi="Abadi Extra Light"/>
        </w:rPr>
        <w:fldChar w:fldCharType="end"/>
      </w:r>
      <w:r>
        <w:rPr>
          <w:rFonts w:ascii="Abadi Extra Light" w:hAnsi="Abadi Extra Light"/>
        </w:rPr>
        <w:t>. That means recognising the different needs of individuals, and using a range of strategies to adapt our care and systems to address those needs, so that all patients may access the same level of care.</w:t>
      </w:r>
    </w:p>
    <w:p w14:paraId="77DD2E0D" w14:textId="56843B6E" w:rsidR="00F422D3" w:rsidRDefault="00004695">
      <w:pPr>
        <w:rPr>
          <w:rFonts w:ascii="Abadi Extra Light" w:hAnsi="Abadi Extra Light"/>
        </w:rPr>
      </w:pPr>
      <w:r>
        <w:rPr>
          <w:rFonts w:ascii="Abadi Extra Light" w:hAnsi="Abadi Extra Light"/>
        </w:rPr>
        <w:t xml:space="preserve">In the case of OMFS trauma reviews, there are several strategies that can be employed to improve rates of appropriate follow-up, particularly in the vulnerable. Face to face reviews should be utilised where patients don’t have reliable access to a phone. Furthermore, if patients with no phone are given a specific appointment to attend, they should also be given advice on what to do if they miss the appointment, as they might otherwise be lost due to inability to contact the department. The same should be offered to patients who have been victims of domestic violence, whose attackers might </w:t>
      </w:r>
      <w:r w:rsidR="004F61D6">
        <w:rPr>
          <w:rFonts w:ascii="Abadi Extra Light" w:hAnsi="Abadi Extra Light"/>
        </w:rPr>
        <w:t>prevent</w:t>
      </w:r>
      <w:r>
        <w:rPr>
          <w:rFonts w:ascii="Abadi Extra Light" w:hAnsi="Abadi Extra Light"/>
        </w:rPr>
        <w:t xml:space="preserve"> them from using the phone or attending appointments. Similarly, face to face reviews can be utilised in cases where patients have certain communication needs that prohibit effective telephone consultations, such as deafness. For patients who have a phone but don’t speak enough English to be able to participate fully in a telephone consultation, NHS Language Line has a service whereby their interpreters can participate in a 3-way phone conversation along with a clinician and a patient. This is a valuable tool which can be used to allow non-English speaking patients to fully engage in their own healthcare decision making, without the need for a face-to-face appointment. </w:t>
      </w:r>
    </w:p>
    <w:p w14:paraId="77DD2E0E" w14:textId="05F34B5C" w:rsidR="00F422D3" w:rsidRDefault="00004695">
      <w:pPr>
        <w:rPr>
          <w:rFonts w:ascii="Abadi Extra Light" w:hAnsi="Abadi Extra Light"/>
        </w:rPr>
      </w:pPr>
      <w:r>
        <w:rPr>
          <w:rFonts w:ascii="Abadi Extra Light" w:hAnsi="Abadi Extra Light"/>
        </w:rPr>
        <w:t>In the event of another lockdown, all of these considerations will be taken into consideration when planning review and management of patients with maxillofacial fractures. If th</w:t>
      </w:r>
      <w:r w:rsidR="00820895">
        <w:rPr>
          <w:rFonts w:ascii="Abadi Extra Light" w:hAnsi="Abadi Extra Light"/>
        </w:rPr>
        <w:t>at</w:t>
      </w:r>
      <w:r>
        <w:rPr>
          <w:rFonts w:ascii="Abadi Extra Light" w:hAnsi="Abadi Extra Light"/>
        </w:rPr>
        <w:t xml:space="preserve"> situation arises, </w:t>
      </w:r>
      <w:r w:rsidR="00820895">
        <w:rPr>
          <w:rFonts w:ascii="Abadi Extra Light" w:hAnsi="Abadi Extra Light"/>
        </w:rPr>
        <w:t>this</w:t>
      </w:r>
      <w:r>
        <w:rPr>
          <w:rFonts w:ascii="Abadi Extra Light" w:hAnsi="Abadi Extra Light"/>
        </w:rPr>
        <w:t xml:space="preserve"> audit </w:t>
      </w:r>
      <w:r w:rsidR="00820895">
        <w:rPr>
          <w:rFonts w:ascii="Abadi Extra Light" w:hAnsi="Abadi Extra Light"/>
        </w:rPr>
        <w:t>could</w:t>
      </w:r>
      <w:r>
        <w:rPr>
          <w:rFonts w:ascii="Abadi Extra Light" w:hAnsi="Abadi Extra Light"/>
        </w:rPr>
        <w:t xml:space="preserve"> be repeated to assess whether improvement has been made. It would also be useful to repeat the audit outside of lockdown circumstances, to assess for any differences.</w:t>
      </w:r>
    </w:p>
    <w:p w14:paraId="77DD2E0F" w14:textId="77777777" w:rsidR="00F422D3" w:rsidRDefault="00F422D3">
      <w:pPr>
        <w:rPr>
          <w:rFonts w:ascii="Abadi Extra Light" w:hAnsi="Abadi Extra Light"/>
        </w:rPr>
      </w:pPr>
    </w:p>
    <w:p w14:paraId="77DD2E10" w14:textId="77777777" w:rsidR="00F422D3" w:rsidRDefault="00F422D3">
      <w:pPr>
        <w:pStyle w:val="ListParagraph"/>
        <w:numPr>
          <w:ilvl w:val="0"/>
          <w:numId w:val="1"/>
        </w:numPr>
        <w:rPr>
          <w:rFonts w:ascii="Abadi Extra Light" w:hAnsi="Abadi Extra Light"/>
        </w:rPr>
      </w:pPr>
    </w:p>
    <w:p w14:paraId="77DD2E11" w14:textId="77777777" w:rsidR="00F422D3" w:rsidRDefault="00F422D3">
      <w:pPr>
        <w:rPr>
          <w:rFonts w:ascii="Abadi Extra Light" w:hAnsi="Abadi Extra Light"/>
        </w:rPr>
      </w:pPr>
    </w:p>
    <w:p w14:paraId="77DD2E12" w14:textId="77777777" w:rsidR="00F422D3" w:rsidRDefault="00004695">
      <w:pPr>
        <w:pStyle w:val="Heading2"/>
        <w:rPr>
          <w:rFonts w:ascii="Abadi Extra Light" w:hAnsi="Abadi Extra Light"/>
        </w:rPr>
      </w:pPr>
      <w:r>
        <w:rPr>
          <w:rFonts w:ascii="Abadi Extra Light" w:hAnsi="Abadi Extra Light"/>
        </w:rPr>
        <w:t>References</w:t>
      </w:r>
    </w:p>
    <w:p w14:paraId="77DD2E13" w14:textId="77777777" w:rsidR="00F422D3" w:rsidRDefault="00004695">
      <w:pPr>
        <w:widowControl w:val="0"/>
        <w:autoSpaceDE w:val="0"/>
        <w:spacing w:line="240" w:lineRule="auto"/>
        <w:ind w:left="640" w:hanging="640"/>
      </w:pPr>
      <w:r>
        <w:rPr>
          <w:rFonts w:ascii="Abadi Extra Light" w:hAnsi="Abadi Extra Light"/>
          <w:szCs w:val="24"/>
        </w:rPr>
        <w:t xml:space="preserve">1. </w:t>
      </w:r>
      <w:r>
        <w:rPr>
          <w:rFonts w:ascii="Abadi Extra Light" w:hAnsi="Abadi Extra Light"/>
          <w:szCs w:val="24"/>
        </w:rPr>
        <w:tab/>
        <w:t xml:space="preserve">Holmes S, Bhatti N, Bhandari R, </w:t>
      </w:r>
      <w:proofErr w:type="spellStart"/>
      <w:r>
        <w:rPr>
          <w:rFonts w:ascii="Abadi Extra Light" w:hAnsi="Abadi Extra Light"/>
          <w:szCs w:val="24"/>
        </w:rPr>
        <w:t>Chatzopoulou</w:t>
      </w:r>
      <w:proofErr w:type="spellEnd"/>
      <w:r>
        <w:rPr>
          <w:rFonts w:ascii="Abadi Extra Light" w:hAnsi="Abadi Extra Light"/>
          <w:szCs w:val="24"/>
        </w:rPr>
        <w:t xml:space="preserve"> D. Toward a consensus view in the management of acute facial injuries during the Covid-19 pandemic. </w:t>
      </w:r>
      <w:r>
        <w:rPr>
          <w:rFonts w:ascii="Abadi Extra Light" w:hAnsi="Abadi Extra Light"/>
          <w:i/>
          <w:iCs/>
          <w:szCs w:val="24"/>
        </w:rPr>
        <w:t xml:space="preserve">Br J Oral </w:t>
      </w:r>
      <w:proofErr w:type="spellStart"/>
      <w:r>
        <w:rPr>
          <w:rFonts w:ascii="Abadi Extra Light" w:hAnsi="Abadi Extra Light"/>
          <w:i/>
          <w:iCs/>
          <w:szCs w:val="24"/>
        </w:rPr>
        <w:t>Maxillofac</w:t>
      </w:r>
      <w:proofErr w:type="spellEnd"/>
      <w:r>
        <w:rPr>
          <w:rFonts w:ascii="Abadi Extra Light" w:hAnsi="Abadi Extra Light"/>
          <w:i/>
          <w:iCs/>
          <w:szCs w:val="24"/>
        </w:rPr>
        <w:t xml:space="preserve"> Surg</w:t>
      </w:r>
      <w:r>
        <w:rPr>
          <w:rFonts w:ascii="Abadi Extra Light" w:hAnsi="Abadi Extra Light"/>
          <w:szCs w:val="24"/>
        </w:rPr>
        <w:t xml:space="preserve">. 2020;58(5):571-576. </w:t>
      </w:r>
      <w:proofErr w:type="gramStart"/>
      <w:r>
        <w:rPr>
          <w:rFonts w:ascii="Abadi Extra Light" w:hAnsi="Abadi Extra Light"/>
          <w:szCs w:val="24"/>
        </w:rPr>
        <w:t>doi:10.1016/j.bjoms</w:t>
      </w:r>
      <w:proofErr w:type="gramEnd"/>
      <w:r>
        <w:rPr>
          <w:rFonts w:ascii="Abadi Extra Light" w:hAnsi="Abadi Extra Light"/>
          <w:szCs w:val="24"/>
        </w:rPr>
        <w:t>.2020.03.024</w:t>
      </w:r>
    </w:p>
    <w:p w14:paraId="77DD2E14" w14:textId="77777777" w:rsidR="00F422D3" w:rsidRDefault="00004695">
      <w:pPr>
        <w:widowControl w:val="0"/>
        <w:autoSpaceDE w:val="0"/>
        <w:spacing w:line="240" w:lineRule="auto"/>
        <w:ind w:left="640" w:hanging="640"/>
        <w:rPr>
          <w:rFonts w:ascii="Abadi Extra Light" w:hAnsi="Abadi Extra Light"/>
          <w:szCs w:val="24"/>
        </w:rPr>
      </w:pPr>
      <w:r>
        <w:rPr>
          <w:rFonts w:ascii="Abadi Extra Light" w:hAnsi="Abadi Extra Light"/>
          <w:szCs w:val="24"/>
        </w:rPr>
        <w:t xml:space="preserve">2. </w:t>
      </w:r>
      <w:r>
        <w:rPr>
          <w:rFonts w:ascii="Abadi Extra Light" w:hAnsi="Abadi Extra Light"/>
          <w:szCs w:val="24"/>
        </w:rPr>
        <w:tab/>
        <w:t>General Medical Council. Domain 1 - Knowledge skills and performance - GMC. Good Medical Practice. https://www.gmc-uk.org/ethical-guidance/ethical-guidance-for-doctors/good-medical-practice/domain-1---knowledge-skills-and-performance#paragraph-19. Published April 29, 2019. Accessed September 26, 2021.</w:t>
      </w:r>
    </w:p>
    <w:p w14:paraId="77DD2E15" w14:textId="77777777" w:rsidR="00F422D3" w:rsidRDefault="00004695">
      <w:pPr>
        <w:widowControl w:val="0"/>
        <w:autoSpaceDE w:val="0"/>
        <w:spacing w:line="240" w:lineRule="auto"/>
        <w:ind w:left="640" w:hanging="640"/>
      </w:pPr>
      <w:r>
        <w:rPr>
          <w:rFonts w:ascii="Abadi Extra Light" w:hAnsi="Abadi Extra Light"/>
          <w:szCs w:val="24"/>
        </w:rPr>
        <w:t xml:space="preserve">3. </w:t>
      </w:r>
      <w:r>
        <w:rPr>
          <w:rFonts w:ascii="Abadi Extra Light" w:hAnsi="Abadi Extra Light"/>
          <w:szCs w:val="24"/>
        </w:rPr>
        <w:tab/>
        <w:t xml:space="preserve">Whitehead M. The Concepts and Principles of Equity and Health. </w:t>
      </w:r>
      <w:r>
        <w:rPr>
          <w:rFonts w:ascii="Abadi Extra Light" w:hAnsi="Abadi Extra Light"/>
          <w:i/>
          <w:iCs/>
          <w:szCs w:val="24"/>
        </w:rPr>
        <w:t>Int J Heal Serv</w:t>
      </w:r>
      <w:r>
        <w:rPr>
          <w:rFonts w:ascii="Abadi Extra Light" w:hAnsi="Abadi Extra Light"/>
          <w:szCs w:val="24"/>
        </w:rPr>
        <w:t>. 1992;22(3):429-445. doi:10.2190/986L-LHQ6-2VTE-YRRN</w:t>
      </w:r>
    </w:p>
    <w:p w14:paraId="77DD2E16" w14:textId="77777777" w:rsidR="00F422D3" w:rsidRDefault="00F422D3"/>
    <w:sectPr w:rsidR="00F422D3">
      <w:headerReference w:type="default" r:id="rId12"/>
      <w:footerReference w:type="defaul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0238" w14:textId="77777777" w:rsidR="004158CE" w:rsidRDefault="004158CE">
      <w:pPr>
        <w:spacing w:after="0" w:line="240" w:lineRule="auto"/>
      </w:pPr>
      <w:r>
        <w:separator/>
      </w:r>
    </w:p>
  </w:endnote>
  <w:endnote w:type="continuationSeparator" w:id="0">
    <w:p w14:paraId="4348CB5D" w14:textId="77777777" w:rsidR="004158CE" w:rsidRDefault="0041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2DE3" w14:textId="77777777" w:rsidR="00BB094D" w:rsidRDefault="00004695">
    <w:pPr>
      <w:pStyle w:val="Footer"/>
      <w:jc w:val="center"/>
    </w:pPr>
    <w:r>
      <w:rPr>
        <w:caps/>
        <w:color w:val="4472C4"/>
      </w:rPr>
      <w:fldChar w:fldCharType="begin"/>
    </w:r>
    <w:r>
      <w:rPr>
        <w:caps/>
        <w:color w:val="4472C4"/>
      </w:rPr>
      <w:instrText xml:space="preserve"> PAGE </w:instrText>
    </w:r>
    <w:r>
      <w:rPr>
        <w:caps/>
        <w:color w:val="4472C4"/>
      </w:rPr>
      <w:fldChar w:fldCharType="separate"/>
    </w:r>
    <w:r w:rsidR="00D42F4D">
      <w:rPr>
        <w:caps/>
        <w:noProof/>
        <w:color w:val="4472C4"/>
      </w:rPr>
      <w:t>2</w:t>
    </w:r>
    <w:r>
      <w:rPr>
        <w:caps/>
        <w:color w:val="4472C4"/>
      </w:rPr>
      <w:fldChar w:fldCharType="end"/>
    </w:r>
  </w:p>
  <w:p w14:paraId="77DD2DE4" w14:textId="77777777" w:rsidR="00BB094D" w:rsidRDefault="008B4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947F" w14:textId="77777777" w:rsidR="004158CE" w:rsidRDefault="004158CE">
      <w:pPr>
        <w:spacing w:after="0" w:line="240" w:lineRule="auto"/>
      </w:pPr>
      <w:r>
        <w:rPr>
          <w:color w:val="000000"/>
        </w:rPr>
        <w:separator/>
      </w:r>
    </w:p>
  </w:footnote>
  <w:footnote w:type="continuationSeparator" w:id="0">
    <w:p w14:paraId="6E279294" w14:textId="77777777" w:rsidR="004158CE" w:rsidRDefault="0041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2DE0" w14:textId="77777777" w:rsidR="00BB094D" w:rsidRDefault="00004695">
    <w:pPr>
      <w:pStyle w:val="Header"/>
      <w:jc w:val="right"/>
    </w:pPr>
    <w:r>
      <w:rPr>
        <w:color w:val="4472C4"/>
      </w:rPr>
      <w:t>Maxillofacial Trauma During the COVID-19 Pandemic: The Effects on the Management of Facial Injuries and the Implications for the Vulnerable | Catrin Byrne</w:t>
    </w:r>
  </w:p>
  <w:p w14:paraId="77DD2DE1" w14:textId="77777777" w:rsidR="00BB094D" w:rsidRDefault="008B4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3619"/>
    <w:multiLevelType w:val="multilevel"/>
    <w:tmpl w:val="528E81BA"/>
    <w:lvl w:ilvl="0">
      <w:numFmt w:val="bullet"/>
      <w:lvlText w:val="-"/>
      <w:lvlJc w:val="left"/>
      <w:pPr>
        <w:ind w:left="720" w:hanging="360"/>
      </w:pPr>
      <w:rPr>
        <w:rFonts w:ascii="Abadi Extra Light" w:eastAsia="Calibri" w:hAnsi="Abadi Extra Ligh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D3"/>
    <w:rsid w:val="00004695"/>
    <w:rsid w:val="001741E9"/>
    <w:rsid w:val="001E2BE0"/>
    <w:rsid w:val="00364C47"/>
    <w:rsid w:val="004158CE"/>
    <w:rsid w:val="004F61D6"/>
    <w:rsid w:val="00614154"/>
    <w:rsid w:val="00820895"/>
    <w:rsid w:val="00864058"/>
    <w:rsid w:val="008B4E2A"/>
    <w:rsid w:val="00C85B44"/>
    <w:rsid w:val="00D229FF"/>
    <w:rsid w:val="00D42F4D"/>
    <w:rsid w:val="00F42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D2DD0"/>
  <w15:docId w15:val="{405427EB-B65C-47A5-9132-1E327C8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unhideWhenUsed/>
    <w:qFormat/>
    <w:rsid w:val="008B4E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uiPriority w:val="99"/>
    <w:semiHidden/>
    <w:unhideWhenUsed/>
    <w:rsid w:val="00D229FF"/>
    <w:rPr>
      <w:sz w:val="16"/>
      <w:szCs w:val="16"/>
    </w:rPr>
  </w:style>
  <w:style w:type="paragraph" w:styleId="CommentText">
    <w:name w:val="annotation text"/>
    <w:basedOn w:val="Normal"/>
    <w:link w:val="CommentTextChar"/>
    <w:uiPriority w:val="99"/>
    <w:semiHidden/>
    <w:unhideWhenUsed/>
    <w:rsid w:val="00D229FF"/>
    <w:pPr>
      <w:spacing w:line="240" w:lineRule="auto"/>
    </w:pPr>
    <w:rPr>
      <w:sz w:val="20"/>
      <w:szCs w:val="20"/>
    </w:rPr>
  </w:style>
  <w:style w:type="character" w:customStyle="1" w:styleId="CommentTextChar">
    <w:name w:val="Comment Text Char"/>
    <w:basedOn w:val="DefaultParagraphFont"/>
    <w:link w:val="CommentText"/>
    <w:uiPriority w:val="99"/>
    <w:semiHidden/>
    <w:rsid w:val="00D229FF"/>
    <w:rPr>
      <w:sz w:val="20"/>
      <w:szCs w:val="20"/>
    </w:rPr>
  </w:style>
  <w:style w:type="paragraph" w:styleId="CommentSubject">
    <w:name w:val="annotation subject"/>
    <w:basedOn w:val="CommentText"/>
    <w:next w:val="CommentText"/>
    <w:link w:val="CommentSubjectChar"/>
    <w:uiPriority w:val="99"/>
    <w:semiHidden/>
    <w:unhideWhenUsed/>
    <w:rsid w:val="00D229FF"/>
    <w:rPr>
      <w:b/>
      <w:bCs/>
    </w:rPr>
  </w:style>
  <w:style w:type="character" w:customStyle="1" w:styleId="CommentSubjectChar">
    <w:name w:val="Comment Subject Char"/>
    <w:basedOn w:val="CommentTextChar"/>
    <w:link w:val="CommentSubject"/>
    <w:uiPriority w:val="99"/>
    <w:semiHidden/>
    <w:rsid w:val="00D229FF"/>
    <w:rPr>
      <w:b/>
      <w:bCs/>
      <w:sz w:val="20"/>
      <w:szCs w:val="20"/>
    </w:rPr>
  </w:style>
  <w:style w:type="paragraph" w:styleId="BalloonText">
    <w:name w:val="Balloon Text"/>
    <w:basedOn w:val="Normal"/>
    <w:link w:val="BalloonTextChar"/>
    <w:uiPriority w:val="99"/>
    <w:semiHidden/>
    <w:unhideWhenUsed/>
    <w:rsid w:val="00D22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9FF"/>
    <w:rPr>
      <w:rFonts w:ascii="Segoe UI" w:hAnsi="Segoe UI" w:cs="Segoe UI"/>
      <w:sz w:val="18"/>
      <w:szCs w:val="18"/>
    </w:rPr>
  </w:style>
  <w:style w:type="character" w:customStyle="1" w:styleId="Heading4Char">
    <w:name w:val="Heading 4 Char"/>
    <w:basedOn w:val="DefaultParagraphFont"/>
    <w:link w:val="Heading4"/>
    <w:uiPriority w:val="9"/>
    <w:rsid w:val="008B4E2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en-GB" sz="1400" b="0" i="0" u="none" strike="noStrike" kern="1200" cap="none" spc="0" baseline="0">
                <a:solidFill>
                  <a:srgbClr val="595959"/>
                </a:solidFill>
                <a:uFillTx/>
                <a:latin typeface="Calibri"/>
              </a:rPr>
              <a:t>Mechanisms of Injury</a:t>
            </a:r>
          </a:p>
        </c:rich>
      </c:tx>
      <c:overlay val="0"/>
      <c:spPr>
        <a:noFill/>
        <a:ln>
          <a:noFill/>
        </a:ln>
      </c:spPr>
    </c:title>
    <c:autoTitleDeleted val="0"/>
    <c:plotArea>
      <c:layout/>
      <c:pieChart>
        <c:varyColors val="1"/>
        <c:ser>
          <c:idx val="0"/>
          <c:order val="0"/>
          <c:tx>
            <c:v>Series1</c:v>
          </c:tx>
          <c:dPt>
            <c:idx val="0"/>
            <c:bubble3D val="0"/>
            <c:spPr>
              <a:solidFill>
                <a:srgbClr val="92D050"/>
              </a:solidFill>
              <a:ln w="19046">
                <a:solidFill>
                  <a:srgbClr val="FFFFFF"/>
                </a:solidFill>
                <a:prstDash val="solid"/>
              </a:ln>
            </c:spPr>
            <c:extLst>
              <c:ext xmlns:c16="http://schemas.microsoft.com/office/drawing/2014/chart" uri="{C3380CC4-5D6E-409C-BE32-E72D297353CC}">
                <c16:uniqueId val="{00000000-AFA4-4016-A518-ADCCDF23DBF5}"/>
              </c:ext>
            </c:extLst>
          </c:dPt>
          <c:dPt>
            <c:idx val="1"/>
            <c:bubble3D val="0"/>
            <c:spPr>
              <a:solidFill>
                <a:srgbClr val="00B0F0"/>
              </a:solidFill>
              <a:ln w="19046">
                <a:solidFill>
                  <a:srgbClr val="FFFFFF"/>
                </a:solidFill>
                <a:prstDash val="solid"/>
              </a:ln>
            </c:spPr>
            <c:extLst>
              <c:ext xmlns:c16="http://schemas.microsoft.com/office/drawing/2014/chart" uri="{C3380CC4-5D6E-409C-BE32-E72D297353CC}">
                <c16:uniqueId val="{00000001-AFA4-4016-A518-ADCCDF23DBF5}"/>
              </c:ext>
            </c:extLst>
          </c:dPt>
          <c:dPt>
            <c:idx val="2"/>
            <c:bubble3D val="0"/>
            <c:spPr>
              <a:solidFill>
                <a:srgbClr val="F5640B"/>
              </a:solidFill>
              <a:ln w="19046">
                <a:solidFill>
                  <a:srgbClr val="FFFFFF"/>
                </a:solidFill>
                <a:prstDash val="solid"/>
              </a:ln>
            </c:spPr>
            <c:extLst>
              <c:ext xmlns:c16="http://schemas.microsoft.com/office/drawing/2014/chart" uri="{C3380CC4-5D6E-409C-BE32-E72D297353CC}">
                <c16:uniqueId val="{00000002-AFA4-4016-A518-ADCCDF23DBF5}"/>
              </c:ext>
            </c:extLst>
          </c:dPt>
          <c:dPt>
            <c:idx val="3"/>
            <c:bubble3D val="0"/>
            <c:spPr>
              <a:solidFill>
                <a:srgbClr val="7030A0"/>
              </a:solidFill>
              <a:ln w="19046">
                <a:solidFill>
                  <a:srgbClr val="FFFFFF"/>
                </a:solidFill>
                <a:prstDash val="solid"/>
              </a:ln>
            </c:spPr>
            <c:extLst>
              <c:ext xmlns:c16="http://schemas.microsoft.com/office/drawing/2014/chart" uri="{C3380CC4-5D6E-409C-BE32-E72D297353CC}">
                <c16:uniqueId val="{00000003-AFA4-4016-A518-ADCCDF23DBF5}"/>
              </c:ext>
            </c:extLst>
          </c:dPt>
          <c:dPt>
            <c:idx val="4"/>
            <c:bubble3D val="0"/>
            <c:spPr>
              <a:solidFill>
                <a:srgbClr val="D000D0"/>
              </a:solidFill>
              <a:ln w="19046">
                <a:solidFill>
                  <a:srgbClr val="FFFFFF"/>
                </a:solidFill>
                <a:prstDash val="solid"/>
              </a:ln>
            </c:spPr>
            <c:extLst>
              <c:ext xmlns:c16="http://schemas.microsoft.com/office/drawing/2014/chart" uri="{C3380CC4-5D6E-409C-BE32-E72D297353CC}">
                <c16:uniqueId val="{00000004-AFA4-4016-A518-ADCCDF23DBF5}"/>
              </c:ext>
            </c:extLst>
          </c:dPt>
          <c:dPt>
            <c:idx val="5"/>
            <c:bubble3D val="0"/>
            <c:spPr>
              <a:solidFill>
                <a:srgbClr val="D9D9D9"/>
              </a:solidFill>
              <a:ln w="19046">
                <a:solidFill>
                  <a:srgbClr val="FFFFFF"/>
                </a:solidFill>
                <a:prstDash val="solid"/>
              </a:ln>
            </c:spPr>
            <c:extLst>
              <c:ext xmlns:c16="http://schemas.microsoft.com/office/drawing/2014/chart" uri="{C3380CC4-5D6E-409C-BE32-E72D297353CC}">
                <c16:uniqueId val="{00000005-AFA4-4016-A518-ADCCDF23DBF5}"/>
              </c:ext>
            </c:extLst>
          </c:dPt>
          <c:cat>
            <c:strLit>
              <c:ptCount val="6"/>
              <c:pt idx="0">
                <c:v>Accidental Injury Outdoors</c:v>
              </c:pt>
              <c:pt idx="1">
                <c:v>Accidental Injury Indoors</c:v>
              </c:pt>
              <c:pt idx="2">
                <c:v>Self-Harm</c:v>
              </c:pt>
              <c:pt idx="3">
                <c:v>Assault by Known Person</c:v>
              </c:pt>
              <c:pt idx="4">
                <c:v>Assault by Unknown Person</c:v>
              </c:pt>
              <c:pt idx="5">
                <c:v>Unknown</c:v>
              </c:pt>
            </c:strLit>
          </c:cat>
          <c:val>
            <c:numLit>
              <c:formatCode>General</c:formatCode>
              <c:ptCount val="6"/>
              <c:pt idx="0">
                <c:v>40</c:v>
              </c:pt>
              <c:pt idx="1">
                <c:v>7</c:v>
              </c:pt>
              <c:pt idx="2">
                <c:v>4</c:v>
              </c:pt>
              <c:pt idx="3">
                <c:v>16</c:v>
              </c:pt>
              <c:pt idx="4">
                <c:v>35</c:v>
              </c:pt>
              <c:pt idx="5">
                <c:v>2</c:v>
              </c:pt>
            </c:numLit>
          </c:val>
          <c:extLst>
            <c:ext xmlns:c16="http://schemas.microsoft.com/office/drawing/2014/chart" uri="{C3380CC4-5D6E-409C-BE32-E72D297353CC}">
              <c16:uniqueId val="{0000000C-C8CD-454B-85D5-DC20C780FAEC}"/>
            </c:ext>
          </c:extLst>
        </c:ser>
        <c:dLbls>
          <c:showLegendKey val="0"/>
          <c:showVal val="0"/>
          <c:showCatName val="0"/>
          <c:showSerName val="0"/>
          <c:showPercent val="0"/>
          <c:showBubbleSize val="0"/>
          <c:showLeaderLines val="1"/>
        </c:dLbls>
        <c:firstSliceAng val="360"/>
      </c:pieChart>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en-GB" sz="1400" b="0" i="0" u="none" strike="noStrike" kern="1200" cap="none" spc="0" baseline="0">
                <a:solidFill>
                  <a:srgbClr val="595959"/>
                </a:solidFill>
                <a:uFillTx/>
                <a:latin typeface="Calibri"/>
              </a:rPr>
              <a:t>Management of Fractures in </a:t>
            </a:r>
            <a:br>
              <a:rPr lang="en-GB" sz="1400" b="0" i="0" u="none" strike="noStrike" kern="1200" cap="none" spc="0" baseline="0">
                <a:solidFill>
                  <a:srgbClr val="595959"/>
                </a:solidFill>
                <a:uFillTx/>
                <a:latin typeface="Calibri"/>
              </a:rPr>
            </a:br>
            <a:r>
              <a:rPr lang="en-GB" sz="1400" b="0" i="0" u="none" strike="noStrike" kern="1200" cap="none" spc="0" baseline="0">
                <a:solidFill>
                  <a:srgbClr val="595959"/>
                </a:solidFill>
                <a:uFillTx/>
                <a:latin typeface="Calibri"/>
              </a:rPr>
              <a:t>Holmes Group 1</a:t>
            </a:r>
          </a:p>
        </c:rich>
      </c:tx>
      <c:overlay val="0"/>
      <c:spPr>
        <a:noFill/>
        <a:ln>
          <a:noFill/>
        </a:ln>
      </c:spPr>
    </c:title>
    <c:autoTitleDeleted val="0"/>
    <c:plotArea>
      <c:layout/>
      <c:pieChart>
        <c:varyColors val="1"/>
        <c:ser>
          <c:idx val="0"/>
          <c:order val="0"/>
          <c:tx>
            <c:v>Series1</c:v>
          </c:tx>
          <c:dPt>
            <c:idx val="0"/>
            <c:bubble3D val="0"/>
            <c:spPr>
              <a:solidFill>
                <a:srgbClr val="92D050"/>
              </a:solidFill>
              <a:ln w="19046">
                <a:solidFill>
                  <a:srgbClr val="FFFFFF"/>
                </a:solidFill>
                <a:prstDash val="solid"/>
              </a:ln>
            </c:spPr>
            <c:extLst>
              <c:ext xmlns:c16="http://schemas.microsoft.com/office/drawing/2014/chart" uri="{C3380CC4-5D6E-409C-BE32-E72D297353CC}">
                <c16:uniqueId val="{00000000-3279-4148-B7E5-2D51F3C2358E}"/>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3279-4148-B7E5-2D51F3C2358E}"/>
              </c:ext>
            </c:extLst>
          </c:dPt>
          <c:dPt>
            <c:idx val="2"/>
            <c:bubble3D val="0"/>
            <c:spPr>
              <a:solidFill>
                <a:srgbClr val="548235"/>
              </a:solidFill>
              <a:ln w="19046">
                <a:solidFill>
                  <a:srgbClr val="FFFFFF"/>
                </a:solidFill>
                <a:prstDash val="solid"/>
              </a:ln>
            </c:spPr>
            <c:extLst>
              <c:ext xmlns:c16="http://schemas.microsoft.com/office/drawing/2014/chart" uri="{C3380CC4-5D6E-409C-BE32-E72D297353CC}">
                <c16:uniqueId val="{00000002-3279-4148-B7E5-2D51F3C2358E}"/>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3279-4148-B7E5-2D51F3C2358E}"/>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3279-4148-B7E5-2D51F3C2358E}"/>
              </c:ext>
            </c:extLst>
          </c:dPt>
          <c:dPt>
            <c:idx val="5"/>
            <c:bubble3D val="0"/>
            <c:spPr>
              <a:solidFill>
                <a:srgbClr val="FF0000"/>
              </a:solidFill>
              <a:ln w="19046">
                <a:solidFill>
                  <a:srgbClr val="FFFFFF"/>
                </a:solidFill>
                <a:prstDash val="solid"/>
              </a:ln>
            </c:spPr>
            <c:extLst>
              <c:ext xmlns:c16="http://schemas.microsoft.com/office/drawing/2014/chart" uri="{C3380CC4-5D6E-409C-BE32-E72D297353CC}">
                <c16:uniqueId val="{00000005-3279-4148-B7E5-2D51F3C2358E}"/>
              </c:ext>
            </c:extLst>
          </c:dPt>
          <c:cat>
            <c:strLit>
              <c:ptCount val="6"/>
              <c:pt idx="0">
                <c:v>Prompt Surgical Treatment</c:v>
              </c:pt>
              <c:pt idx="1">
                <c:v>Prompt IMF</c:v>
              </c:pt>
              <c:pt idx="2">
                <c:v>Delayed Surgical Treatment</c:v>
              </c:pt>
              <c:pt idx="3">
                <c:v>Delayed IMF</c:v>
              </c:pt>
              <c:pt idx="4">
                <c:v>Conservative Management</c:v>
              </c:pt>
              <c:pt idx="5">
                <c:v>No Treatment</c:v>
              </c:pt>
            </c:strLit>
          </c:cat>
          <c:val>
            <c:numLit>
              <c:formatCode>General</c:formatCode>
              <c:ptCount val="6"/>
              <c:pt idx="0">
                <c:v>0.5714285714285714</c:v>
              </c:pt>
              <c:pt idx="1">
                <c:v>0</c:v>
              </c:pt>
              <c:pt idx="2">
                <c:v>0.14285714285714285</c:v>
              </c:pt>
              <c:pt idx="3">
                <c:v>0</c:v>
              </c:pt>
              <c:pt idx="4">
                <c:v>0.14285714285714285</c:v>
              </c:pt>
              <c:pt idx="5">
                <c:v>0.14285714285714285</c:v>
              </c:pt>
            </c:numLit>
          </c:val>
          <c:extLst>
            <c:ext xmlns:c16="http://schemas.microsoft.com/office/drawing/2014/chart" uri="{C3380CC4-5D6E-409C-BE32-E72D297353CC}">
              <c16:uniqueId val="{0000000C-C056-4491-8083-E01CD0C68C4F}"/>
            </c:ext>
          </c:extLst>
        </c:ser>
        <c:dLbls>
          <c:showLegendKey val="0"/>
          <c:showVal val="0"/>
          <c:showCatName val="0"/>
          <c:showSerName val="0"/>
          <c:showPercent val="0"/>
          <c:showBubbleSize val="0"/>
          <c:showLeaderLines val="1"/>
        </c:dLbls>
        <c:firstSliceAng val="360"/>
      </c:pieChart>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en-GB" sz="1400" b="0" i="0" u="none" strike="noStrike" kern="1200" cap="none" spc="0" baseline="0">
                <a:solidFill>
                  <a:srgbClr val="595959"/>
                </a:solidFill>
                <a:uFillTx/>
                <a:latin typeface="Calibri"/>
              </a:rPr>
              <a:t>Management of Fractures in</a:t>
            </a:r>
            <a:br>
              <a:rPr lang="en-GB" sz="1400" b="0" i="0" u="none" strike="noStrike" kern="1200" cap="none" spc="0" baseline="0">
                <a:solidFill>
                  <a:srgbClr val="595959"/>
                </a:solidFill>
                <a:uFillTx/>
                <a:latin typeface="Calibri"/>
              </a:rPr>
            </a:br>
            <a:r>
              <a:rPr lang="en-GB" sz="1400" b="0" i="0" u="none" strike="noStrike" kern="1200" cap="none" spc="0" baseline="0">
                <a:solidFill>
                  <a:srgbClr val="595959"/>
                </a:solidFill>
                <a:uFillTx/>
                <a:latin typeface="Calibri"/>
              </a:rPr>
              <a:t>Holmes Group 2</a:t>
            </a:r>
          </a:p>
        </c:rich>
      </c:tx>
      <c:overlay val="0"/>
      <c:spPr>
        <a:noFill/>
        <a:ln>
          <a:noFill/>
        </a:ln>
      </c:spPr>
    </c:title>
    <c:autoTitleDeleted val="0"/>
    <c:plotArea>
      <c:layout/>
      <c:pieChart>
        <c:varyColors val="1"/>
        <c:ser>
          <c:idx val="0"/>
          <c:order val="0"/>
          <c:tx>
            <c:v>Series1</c:v>
          </c:tx>
          <c:dPt>
            <c:idx val="0"/>
            <c:bubble3D val="0"/>
            <c:spPr>
              <a:solidFill>
                <a:srgbClr val="92D050"/>
              </a:solidFill>
              <a:ln w="19046">
                <a:solidFill>
                  <a:srgbClr val="FFFFFF"/>
                </a:solidFill>
                <a:prstDash val="solid"/>
              </a:ln>
            </c:spPr>
            <c:extLst>
              <c:ext xmlns:c16="http://schemas.microsoft.com/office/drawing/2014/chart" uri="{C3380CC4-5D6E-409C-BE32-E72D297353CC}">
                <c16:uniqueId val="{00000000-81A8-4660-ACE0-24E3FEE3513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1A8-4660-ACE0-24E3FEE35131}"/>
              </c:ext>
            </c:extLst>
          </c:dPt>
          <c:dPt>
            <c:idx val="2"/>
            <c:bubble3D val="0"/>
            <c:spPr>
              <a:solidFill>
                <a:srgbClr val="548235"/>
              </a:solidFill>
              <a:ln w="19046">
                <a:solidFill>
                  <a:srgbClr val="FFFFFF"/>
                </a:solidFill>
                <a:prstDash val="solid"/>
              </a:ln>
            </c:spPr>
            <c:extLst>
              <c:ext xmlns:c16="http://schemas.microsoft.com/office/drawing/2014/chart" uri="{C3380CC4-5D6E-409C-BE32-E72D297353CC}">
                <c16:uniqueId val="{00000002-81A8-4660-ACE0-24E3FEE35131}"/>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81A8-4660-ACE0-24E3FEE35131}"/>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81A8-4660-ACE0-24E3FEE35131}"/>
              </c:ext>
            </c:extLst>
          </c:dPt>
          <c:dPt>
            <c:idx val="5"/>
            <c:bubble3D val="0"/>
            <c:spPr>
              <a:solidFill>
                <a:srgbClr val="FF0000"/>
              </a:solidFill>
              <a:ln w="19046">
                <a:solidFill>
                  <a:srgbClr val="FFFFFF"/>
                </a:solidFill>
                <a:prstDash val="solid"/>
              </a:ln>
            </c:spPr>
            <c:extLst>
              <c:ext xmlns:c16="http://schemas.microsoft.com/office/drawing/2014/chart" uri="{C3380CC4-5D6E-409C-BE32-E72D297353CC}">
                <c16:uniqueId val="{00000005-81A8-4660-ACE0-24E3FEE35131}"/>
              </c:ext>
            </c:extLst>
          </c:dPt>
          <c:cat>
            <c:strLit>
              <c:ptCount val="6"/>
              <c:pt idx="0">
                <c:v>Prompt Surgical Treatment</c:v>
              </c:pt>
              <c:pt idx="1">
                <c:v>Prompt IMF</c:v>
              </c:pt>
              <c:pt idx="2">
                <c:v>Delayed Surgical Treatment</c:v>
              </c:pt>
              <c:pt idx="3">
                <c:v>Delayed IMF</c:v>
              </c:pt>
              <c:pt idx="4">
                <c:v>Conservative Management</c:v>
              </c:pt>
              <c:pt idx="5">
                <c:v>No Treatment</c:v>
              </c:pt>
            </c:strLit>
          </c:cat>
          <c:val>
            <c:numLit>
              <c:formatCode>General</c:formatCode>
              <c:ptCount val="6"/>
              <c:pt idx="0">
                <c:v>0.46808510638297873</c:v>
              </c:pt>
              <c:pt idx="1">
                <c:v>2.1276595744680851E-2</c:v>
              </c:pt>
              <c:pt idx="2">
                <c:v>6.3829787234042548E-2</c:v>
              </c:pt>
              <c:pt idx="3">
                <c:v>2.1276595744680851E-2</c:v>
              </c:pt>
              <c:pt idx="4">
                <c:v>0.1276595744680851</c:v>
              </c:pt>
              <c:pt idx="5">
                <c:v>0.2978723404255319</c:v>
              </c:pt>
            </c:numLit>
          </c:val>
          <c:extLst>
            <c:ext xmlns:c16="http://schemas.microsoft.com/office/drawing/2014/chart" uri="{C3380CC4-5D6E-409C-BE32-E72D297353CC}">
              <c16:uniqueId val="{0000000C-608B-4472-B4D1-D33C748FC14B}"/>
            </c:ext>
          </c:extLst>
        </c:ser>
        <c:dLbls>
          <c:showLegendKey val="0"/>
          <c:showVal val="0"/>
          <c:showCatName val="0"/>
          <c:showSerName val="0"/>
          <c:showPercent val="0"/>
          <c:showBubbleSize val="0"/>
          <c:showLeaderLines val="1"/>
        </c:dLbls>
        <c:firstSliceAng val="360"/>
      </c:pieChart>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en-GB" sz="1400" b="0" i="0" u="none" strike="noStrike" kern="1200" cap="none" spc="0" baseline="0">
                <a:solidFill>
                  <a:srgbClr val="595959"/>
                </a:solidFill>
                <a:uFillTx/>
                <a:latin typeface="Calibri"/>
              </a:rPr>
              <a:t>Management of Fractures in</a:t>
            </a:r>
            <a:br>
              <a:rPr lang="en-GB" sz="1400" b="0" i="0" u="none" strike="noStrike" kern="1200" cap="none" spc="0" baseline="0">
                <a:solidFill>
                  <a:srgbClr val="595959"/>
                </a:solidFill>
                <a:uFillTx/>
                <a:latin typeface="Calibri"/>
              </a:rPr>
            </a:br>
            <a:r>
              <a:rPr lang="en-GB" sz="1400" b="0" i="0" u="none" strike="noStrike" kern="1200" cap="none" spc="0" baseline="0">
                <a:solidFill>
                  <a:srgbClr val="595959"/>
                </a:solidFill>
                <a:uFillTx/>
                <a:latin typeface="Calibri"/>
              </a:rPr>
              <a:t>Holmes Group 3</a:t>
            </a:r>
          </a:p>
        </c:rich>
      </c:tx>
      <c:overlay val="0"/>
      <c:spPr>
        <a:noFill/>
        <a:ln>
          <a:noFill/>
        </a:ln>
      </c:spPr>
    </c:title>
    <c:autoTitleDeleted val="0"/>
    <c:plotArea>
      <c:layout/>
      <c:pieChart>
        <c:varyColors val="1"/>
        <c:ser>
          <c:idx val="0"/>
          <c:order val="0"/>
          <c:tx>
            <c:v>Series2</c:v>
          </c:tx>
          <c:dPt>
            <c:idx val="0"/>
            <c:bubble3D val="0"/>
            <c:spPr>
              <a:solidFill>
                <a:srgbClr val="92D050"/>
              </a:solidFill>
              <a:ln>
                <a:noFill/>
              </a:ln>
            </c:spPr>
            <c:extLst>
              <c:ext xmlns:c16="http://schemas.microsoft.com/office/drawing/2014/chart" uri="{C3380CC4-5D6E-409C-BE32-E72D297353CC}">
                <c16:uniqueId val="{00000000-CA6C-4D32-AAAB-FC4364D6FE79}"/>
              </c:ext>
            </c:extLst>
          </c:dPt>
          <c:dPt>
            <c:idx val="1"/>
            <c:bubble3D val="0"/>
            <c:spPr>
              <a:solidFill>
                <a:srgbClr val="D26E2A"/>
              </a:solidFill>
              <a:ln>
                <a:noFill/>
              </a:ln>
            </c:spPr>
            <c:extLst>
              <c:ext xmlns:c16="http://schemas.microsoft.com/office/drawing/2014/chart" uri="{C3380CC4-5D6E-409C-BE32-E72D297353CC}">
                <c16:uniqueId val="{00000001-CA6C-4D32-AAAB-FC4364D6FE79}"/>
              </c:ext>
            </c:extLst>
          </c:dPt>
          <c:dPt>
            <c:idx val="2"/>
            <c:bubble3D val="0"/>
            <c:spPr>
              <a:solidFill>
                <a:srgbClr val="548235"/>
              </a:solidFill>
              <a:ln>
                <a:noFill/>
              </a:ln>
            </c:spPr>
            <c:extLst>
              <c:ext xmlns:c16="http://schemas.microsoft.com/office/drawing/2014/chart" uri="{C3380CC4-5D6E-409C-BE32-E72D297353CC}">
                <c16:uniqueId val="{00000002-CA6C-4D32-AAAB-FC4364D6FE79}"/>
              </c:ext>
            </c:extLst>
          </c:dPt>
          <c:dPt>
            <c:idx val="3"/>
            <c:bubble3D val="0"/>
            <c:spPr>
              <a:solidFill>
                <a:srgbClr val="E2AA00"/>
              </a:solidFill>
              <a:ln>
                <a:noFill/>
              </a:ln>
            </c:spPr>
            <c:extLst>
              <c:ext xmlns:c16="http://schemas.microsoft.com/office/drawing/2014/chart" uri="{C3380CC4-5D6E-409C-BE32-E72D297353CC}">
                <c16:uniqueId val="{00000003-CA6C-4D32-AAAB-FC4364D6FE79}"/>
              </c:ext>
            </c:extLst>
          </c:dPt>
          <c:dPt>
            <c:idx val="4"/>
            <c:bubble3D val="0"/>
            <c:spPr>
              <a:solidFill>
                <a:srgbClr val="5089BC"/>
              </a:solidFill>
              <a:ln>
                <a:noFill/>
              </a:ln>
            </c:spPr>
            <c:extLst>
              <c:ext xmlns:c16="http://schemas.microsoft.com/office/drawing/2014/chart" uri="{C3380CC4-5D6E-409C-BE32-E72D297353CC}">
                <c16:uniqueId val="{00000004-CA6C-4D32-AAAB-FC4364D6FE79}"/>
              </c:ext>
            </c:extLst>
          </c:dPt>
          <c:dPt>
            <c:idx val="5"/>
            <c:bubble3D val="0"/>
            <c:spPr>
              <a:solidFill>
                <a:srgbClr val="FF0000"/>
              </a:solidFill>
              <a:ln>
                <a:noFill/>
              </a:ln>
            </c:spPr>
            <c:extLst>
              <c:ext xmlns:c16="http://schemas.microsoft.com/office/drawing/2014/chart" uri="{C3380CC4-5D6E-409C-BE32-E72D297353CC}">
                <c16:uniqueId val="{00000005-CA6C-4D32-AAAB-FC4364D6FE79}"/>
              </c:ext>
            </c:extLst>
          </c:dPt>
          <c:cat>
            <c:strLit>
              <c:ptCount val="6"/>
              <c:pt idx="0">
                <c:v>Prompt Surgical Treatment</c:v>
              </c:pt>
              <c:pt idx="1">
                <c:v>Prompt IMF</c:v>
              </c:pt>
              <c:pt idx="2">
                <c:v>Delayed Surgical Treatment</c:v>
              </c:pt>
              <c:pt idx="3">
                <c:v>Delayed IMF</c:v>
              </c:pt>
              <c:pt idx="4">
                <c:v>Conservative Management</c:v>
              </c:pt>
              <c:pt idx="5">
                <c:v>No Treatment</c:v>
              </c:pt>
            </c:strLit>
          </c:cat>
          <c:val>
            <c:numLit>
              <c:formatCode>General</c:formatCode>
              <c:ptCount val="6"/>
              <c:pt idx="0">
                <c:v>0</c:v>
              </c:pt>
              <c:pt idx="1">
                <c:v>0</c:v>
              </c:pt>
              <c:pt idx="2">
                <c:v>0</c:v>
              </c:pt>
              <c:pt idx="3">
                <c:v>0</c:v>
              </c:pt>
              <c:pt idx="4">
                <c:v>0.88</c:v>
              </c:pt>
              <c:pt idx="5">
                <c:v>0.12</c:v>
              </c:pt>
            </c:numLit>
          </c:val>
          <c:extLst>
            <c:ext xmlns:c16="http://schemas.microsoft.com/office/drawing/2014/chart" uri="{C3380CC4-5D6E-409C-BE32-E72D297353CC}">
              <c16:uniqueId val="{0000000C-FD1B-4960-BB28-B8EA76221260}"/>
            </c:ext>
          </c:extLst>
        </c:ser>
        <c:ser>
          <c:idx val="1"/>
          <c:order val="1"/>
          <c:tx>
            <c:v>Series1</c:v>
          </c:tx>
          <c:dPt>
            <c:idx val="0"/>
            <c:bubble3D val="0"/>
            <c:spPr>
              <a:solidFill>
                <a:srgbClr val="92D050"/>
              </a:solidFill>
              <a:ln w="19046">
                <a:solidFill>
                  <a:srgbClr val="FFFFFF"/>
                </a:solidFill>
                <a:prstDash val="solid"/>
              </a:ln>
            </c:spPr>
            <c:extLst>
              <c:ext xmlns:c16="http://schemas.microsoft.com/office/drawing/2014/chart" uri="{C3380CC4-5D6E-409C-BE32-E72D297353CC}">
                <c16:uniqueId val="{00000006-CA6C-4D32-AAAB-FC4364D6FE79}"/>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7-CA6C-4D32-AAAB-FC4364D6FE79}"/>
              </c:ext>
            </c:extLst>
          </c:dPt>
          <c:dPt>
            <c:idx val="2"/>
            <c:bubble3D val="0"/>
            <c:spPr>
              <a:solidFill>
                <a:srgbClr val="548235"/>
              </a:solidFill>
              <a:ln w="19046">
                <a:solidFill>
                  <a:srgbClr val="FFFFFF"/>
                </a:solidFill>
                <a:prstDash val="solid"/>
              </a:ln>
            </c:spPr>
            <c:extLst>
              <c:ext xmlns:c16="http://schemas.microsoft.com/office/drawing/2014/chart" uri="{C3380CC4-5D6E-409C-BE32-E72D297353CC}">
                <c16:uniqueId val="{00000008-CA6C-4D32-AAAB-FC4364D6FE79}"/>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9-CA6C-4D32-AAAB-FC4364D6FE79}"/>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A-CA6C-4D32-AAAB-FC4364D6FE79}"/>
              </c:ext>
            </c:extLst>
          </c:dPt>
          <c:dPt>
            <c:idx val="5"/>
            <c:bubble3D val="0"/>
            <c:spPr>
              <a:solidFill>
                <a:srgbClr val="FF0000"/>
              </a:solidFill>
              <a:ln w="19046">
                <a:solidFill>
                  <a:srgbClr val="FFFFFF"/>
                </a:solidFill>
                <a:prstDash val="solid"/>
              </a:ln>
            </c:spPr>
            <c:extLst>
              <c:ext xmlns:c16="http://schemas.microsoft.com/office/drawing/2014/chart" uri="{C3380CC4-5D6E-409C-BE32-E72D297353CC}">
                <c16:uniqueId val="{0000000B-CA6C-4D32-AAAB-FC4364D6FE79}"/>
              </c:ext>
            </c:extLst>
          </c:dPt>
          <c:val>
            <c:numLit>
              <c:formatCode>General</c:formatCode>
              <c:ptCount val="6"/>
              <c:pt idx="0">
                <c:v>0.46808510638297873</c:v>
              </c:pt>
              <c:pt idx="1">
                <c:v>2.1276595744680851E-2</c:v>
              </c:pt>
              <c:pt idx="2">
                <c:v>6.3829787234042548E-2</c:v>
              </c:pt>
              <c:pt idx="3">
                <c:v>2.1276595744680851E-2</c:v>
              </c:pt>
              <c:pt idx="4">
                <c:v>0.1276595744680851</c:v>
              </c:pt>
              <c:pt idx="5">
                <c:v>0.2978723404255319</c:v>
              </c:pt>
            </c:numLit>
          </c:val>
          <c:extLst>
            <c:ext xmlns:c16="http://schemas.microsoft.com/office/drawing/2014/chart" uri="{C3380CC4-5D6E-409C-BE32-E72D297353CC}">
              <c16:uniqueId val="{00000019-FD1B-4960-BB28-B8EA76221260}"/>
            </c:ext>
          </c:extLst>
        </c:ser>
        <c:dLbls>
          <c:showLegendKey val="0"/>
          <c:showVal val="0"/>
          <c:showCatName val="0"/>
          <c:showSerName val="0"/>
          <c:showPercent val="0"/>
          <c:showBubbleSize val="0"/>
          <c:showLeaderLines val="1"/>
        </c:dLbls>
        <c:firstSliceAng val="360"/>
      </c:pieChart>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legend>
    <c:plotVisOnly val="1"/>
    <c:dispBlanksAs val="gap"/>
    <c:showDLblsOverMax val="0"/>
  </c:chart>
  <c:spPr>
    <a:solidFill>
      <a:srgbClr val="FFFFFF"/>
    </a:solidFill>
    <a:ln w="6345" cap="flat">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5DF49-3679-4FCC-8431-60267F88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Maxillofacial Trauma During the COVID-19 Pandemic: The Effects on the Management of Facial Injuries and the Implications for the Vulnerable</vt:lpstr>
    </vt:vector>
  </TitlesOfParts>
  <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Maxillofacial Trauma During the COVID-19 Pandemic: The Effects on the Management of Facial Injuries and the Implications for the Vulnerable</dc:title>
  <dc:subject/>
  <dc:creator>Catrin Byrne</dc:creator>
  <dc:description/>
  <cp:lastModifiedBy>Catrin Byrne</cp:lastModifiedBy>
  <cp:revision>4</cp:revision>
  <dcterms:created xsi:type="dcterms:W3CDTF">2021-09-26T21:49:00Z</dcterms:created>
  <dcterms:modified xsi:type="dcterms:W3CDTF">2021-10-05T12:36:00Z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852dc1ad-27c3-395a-b3e8-0e18cae17da1</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