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8C4FB" w14:textId="6E8C86FF" w:rsidR="00A55218" w:rsidRPr="00E65F4F" w:rsidRDefault="00300FF0" w:rsidP="00A55218">
      <w:pPr>
        <w:rPr>
          <w:rFonts w:eastAsia="Times New Roman" w:cs="Times New Roman"/>
          <w:color w:val="000000"/>
        </w:rPr>
      </w:pPr>
      <w:r>
        <w:rPr>
          <w:rFonts w:eastAsia="Times New Roman" w:cs="Times New Roman"/>
          <w:color w:val="000000"/>
        </w:rPr>
        <w:t>Are large movements a risk factor for subsequent plate removal in bilateral sagittal split osteotomy?</w:t>
      </w:r>
    </w:p>
    <w:p w14:paraId="4169C745" w14:textId="77777777" w:rsidR="002D2362" w:rsidRPr="00E65F4F" w:rsidRDefault="002D2362" w:rsidP="00A55218">
      <w:pPr>
        <w:rPr>
          <w:rFonts w:eastAsia="Times New Roman" w:cs="Times New Roman"/>
          <w:color w:val="000000"/>
        </w:rPr>
      </w:pPr>
    </w:p>
    <w:p w14:paraId="120E8619" w14:textId="77777777" w:rsidR="002D2362" w:rsidRDefault="002D2362" w:rsidP="00A55218">
      <w:pPr>
        <w:rPr>
          <w:rFonts w:eastAsia="Times New Roman" w:cs="Times New Roman"/>
          <w:color w:val="000000"/>
        </w:rPr>
      </w:pPr>
      <w:r w:rsidRPr="00E65F4F">
        <w:rPr>
          <w:rFonts w:eastAsia="Times New Roman" w:cs="Times New Roman"/>
          <w:color w:val="000000"/>
        </w:rPr>
        <w:t>Samuel Kent, Roderick Morrison</w:t>
      </w:r>
      <w:bookmarkStart w:id="0" w:name="_GoBack"/>
      <w:bookmarkEnd w:id="0"/>
    </w:p>
    <w:p w14:paraId="3BD8E62A" w14:textId="77777777" w:rsidR="001A4D49" w:rsidRPr="00E65F4F" w:rsidRDefault="001A4D49" w:rsidP="00A55218">
      <w:pPr>
        <w:rPr>
          <w:rFonts w:eastAsia="Times New Roman" w:cs="Times New Roman"/>
          <w:color w:val="000000"/>
        </w:rPr>
      </w:pPr>
    </w:p>
    <w:p w14:paraId="523B335D" w14:textId="17468A1D" w:rsidR="002D2362" w:rsidRPr="00E65F4F" w:rsidRDefault="00300FF0" w:rsidP="00A55218">
      <w:pPr>
        <w:rPr>
          <w:rFonts w:eastAsia="Times New Roman" w:cs="Times New Roman"/>
        </w:rPr>
      </w:pPr>
      <w:proofErr w:type="gramStart"/>
      <w:r>
        <w:rPr>
          <w:rFonts w:eastAsia="Times New Roman" w:cs="Times New Roman"/>
          <w:color w:val="000000"/>
        </w:rPr>
        <w:t xml:space="preserve">Department of </w:t>
      </w:r>
      <w:r w:rsidR="002D2362" w:rsidRPr="00E65F4F">
        <w:rPr>
          <w:rFonts w:eastAsia="Times New Roman" w:cs="Times New Roman"/>
          <w:color w:val="000000"/>
        </w:rPr>
        <w:t>Oral and Maxillofacial surgery, Aberdeen Royal Infirmary</w:t>
      </w:r>
      <w:r>
        <w:rPr>
          <w:rFonts w:eastAsia="Times New Roman" w:cs="Times New Roman"/>
          <w:color w:val="000000"/>
        </w:rPr>
        <w:t>, Scotland.</w:t>
      </w:r>
      <w:proofErr w:type="gramEnd"/>
    </w:p>
    <w:p w14:paraId="442E5F29" w14:textId="458AA256" w:rsidR="00F42F85" w:rsidRPr="00E65F4F" w:rsidRDefault="00F42F85" w:rsidP="008C5E15">
      <w:pPr>
        <w:pStyle w:val="NormalWeb"/>
        <w:rPr>
          <w:rFonts w:asciiTheme="minorHAnsi" w:hAnsiTheme="minorHAnsi"/>
          <w:color w:val="000000"/>
          <w:sz w:val="24"/>
          <w:szCs w:val="24"/>
        </w:rPr>
      </w:pPr>
      <w:r w:rsidRPr="00E65F4F">
        <w:rPr>
          <w:rFonts w:asciiTheme="minorHAnsi" w:hAnsiTheme="minorHAnsi"/>
          <w:color w:val="000000"/>
          <w:sz w:val="24"/>
          <w:szCs w:val="24"/>
        </w:rPr>
        <w:t xml:space="preserve">Abstract: </w:t>
      </w:r>
      <w:r w:rsidR="00341831" w:rsidRPr="00E65F4F">
        <w:rPr>
          <w:rFonts w:asciiTheme="minorHAnsi" w:hAnsiTheme="minorHAnsi"/>
          <w:color w:val="000000"/>
          <w:sz w:val="24"/>
          <w:szCs w:val="24"/>
        </w:rPr>
        <w:t>BACKGROUND</w:t>
      </w:r>
      <w:r w:rsidRPr="00E65F4F">
        <w:rPr>
          <w:rFonts w:asciiTheme="minorHAnsi" w:hAnsiTheme="minorHAnsi"/>
          <w:color w:val="000000"/>
          <w:sz w:val="24"/>
          <w:szCs w:val="24"/>
        </w:rPr>
        <w:t xml:space="preserve">: Metal plate removal is a common complication of </w:t>
      </w:r>
      <w:r w:rsidR="00415C95">
        <w:rPr>
          <w:rFonts w:asciiTheme="minorHAnsi" w:hAnsiTheme="minorHAnsi"/>
          <w:color w:val="000000"/>
          <w:sz w:val="24"/>
          <w:szCs w:val="24"/>
        </w:rPr>
        <w:t>mandibular osteotomy</w:t>
      </w:r>
      <w:r w:rsidR="009965DC">
        <w:rPr>
          <w:rFonts w:asciiTheme="minorHAnsi" w:hAnsiTheme="minorHAnsi"/>
          <w:color w:val="000000"/>
          <w:sz w:val="24"/>
          <w:szCs w:val="24"/>
        </w:rPr>
        <w:t xml:space="preserve"> with </w:t>
      </w:r>
      <w:r w:rsidR="00300FF0">
        <w:rPr>
          <w:rFonts w:asciiTheme="minorHAnsi" w:hAnsiTheme="minorHAnsi"/>
          <w:color w:val="000000"/>
          <w:sz w:val="24"/>
          <w:szCs w:val="24"/>
        </w:rPr>
        <w:t>up to</w:t>
      </w:r>
      <w:r w:rsidRPr="00E65F4F">
        <w:rPr>
          <w:rFonts w:asciiTheme="minorHAnsi" w:hAnsiTheme="minorHAnsi"/>
          <w:color w:val="000000"/>
          <w:sz w:val="24"/>
          <w:szCs w:val="24"/>
        </w:rPr>
        <w:t xml:space="preserve"> 27.5% of patients requiring removal of some or all of their hardware. However, little is known abou</w:t>
      </w:r>
      <w:r w:rsidR="000A208E" w:rsidRPr="00E65F4F">
        <w:rPr>
          <w:rFonts w:asciiTheme="minorHAnsi" w:hAnsiTheme="minorHAnsi"/>
          <w:color w:val="000000"/>
          <w:sz w:val="24"/>
          <w:szCs w:val="24"/>
        </w:rPr>
        <w:t xml:space="preserve">t the risk factors for removal. </w:t>
      </w:r>
      <w:r w:rsidRPr="00E65F4F">
        <w:rPr>
          <w:rFonts w:asciiTheme="minorHAnsi" w:hAnsiTheme="minorHAnsi"/>
          <w:color w:val="000000"/>
          <w:sz w:val="24"/>
          <w:szCs w:val="24"/>
        </w:rPr>
        <w:t xml:space="preserve">We hypothesised that large advances </w:t>
      </w:r>
      <w:r w:rsidR="002B2C85">
        <w:rPr>
          <w:rFonts w:asciiTheme="minorHAnsi" w:hAnsiTheme="minorHAnsi"/>
          <w:color w:val="000000"/>
          <w:sz w:val="24"/>
          <w:szCs w:val="24"/>
        </w:rPr>
        <w:t xml:space="preserve">and setbacks </w:t>
      </w:r>
      <w:r w:rsidRPr="00E65F4F">
        <w:rPr>
          <w:rFonts w:asciiTheme="minorHAnsi" w:hAnsiTheme="minorHAnsi"/>
          <w:color w:val="000000"/>
          <w:sz w:val="24"/>
          <w:szCs w:val="24"/>
        </w:rPr>
        <w:t xml:space="preserve">may </w:t>
      </w:r>
      <w:r w:rsidR="000A208E" w:rsidRPr="00E65F4F">
        <w:rPr>
          <w:rFonts w:asciiTheme="minorHAnsi" w:hAnsiTheme="minorHAnsi"/>
          <w:color w:val="000000"/>
          <w:sz w:val="24"/>
          <w:szCs w:val="24"/>
        </w:rPr>
        <w:t>r</w:t>
      </w:r>
      <w:r w:rsidRPr="00E65F4F">
        <w:rPr>
          <w:rFonts w:asciiTheme="minorHAnsi" w:hAnsiTheme="minorHAnsi"/>
          <w:color w:val="000000"/>
          <w:sz w:val="24"/>
          <w:szCs w:val="24"/>
        </w:rPr>
        <w:t xml:space="preserve">esult in stretching of overlying soft </w:t>
      </w:r>
      <w:proofErr w:type="gramStart"/>
      <w:r w:rsidRPr="00E65F4F">
        <w:rPr>
          <w:rFonts w:asciiTheme="minorHAnsi" w:hAnsiTheme="minorHAnsi"/>
          <w:color w:val="000000"/>
          <w:sz w:val="24"/>
          <w:szCs w:val="24"/>
        </w:rPr>
        <w:t>tissues which</w:t>
      </w:r>
      <w:proofErr w:type="gramEnd"/>
      <w:r w:rsidRPr="00E65F4F">
        <w:rPr>
          <w:rFonts w:asciiTheme="minorHAnsi" w:hAnsiTheme="minorHAnsi"/>
          <w:color w:val="000000"/>
          <w:sz w:val="24"/>
          <w:szCs w:val="24"/>
        </w:rPr>
        <w:t xml:space="preserve"> could increase risk of dehiscence and infection</w:t>
      </w:r>
      <w:r w:rsidR="009965DC">
        <w:rPr>
          <w:rFonts w:asciiTheme="minorHAnsi" w:hAnsiTheme="minorHAnsi"/>
          <w:color w:val="000000"/>
          <w:sz w:val="24"/>
          <w:szCs w:val="24"/>
        </w:rPr>
        <w:t>, and hence plate removal</w:t>
      </w:r>
      <w:r w:rsidRPr="00E65F4F">
        <w:rPr>
          <w:rFonts w:asciiTheme="minorHAnsi" w:hAnsiTheme="minorHAnsi"/>
          <w:color w:val="000000"/>
          <w:sz w:val="24"/>
          <w:szCs w:val="24"/>
        </w:rPr>
        <w:t xml:space="preserve">. </w:t>
      </w:r>
      <w:r w:rsidR="00341831" w:rsidRPr="00E65F4F">
        <w:rPr>
          <w:rFonts w:asciiTheme="minorHAnsi" w:hAnsiTheme="minorHAnsi"/>
          <w:color w:val="000000"/>
          <w:sz w:val="24"/>
          <w:szCs w:val="24"/>
        </w:rPr>
        <w:t>METHODS</w:t>
      </w:r>
      <w:r w:rsidRPr="00E65F4F">
        <w:rPr>
          <w:rFonts w:asciiTheme="minorHAnsi" w:hAnsiTheme="minorHAnsi"/>
          <w:color w:val="000000"/>
          <w:sz w:val="24"/>
          <w:szCs w:val="24"/>
        </w:rPr>
        <w:t>:</w:t>
      </w:r>
      <w:r w:rsidR="000A208E" w:rsidRPr="00E65F4F">
        <w:rPr>
          <w:rFonts w:asciiTheme="minorHAnsi" w:hAnsiTheme="minorHAnsi"/>
          <w:color w:val="000000"/>
          <w:sz w:val="24"/>
          <w:szCs w:val="24"/>
        </w:rPr>
        <w:t xml:space="preserve"> Retrospective case re</w:t>
      </w:r>
      <w:r w:rsidR="00415C95">
        <w:rPr>
          <w:rFonts w:asciiTheme="minorHAnsi" w:hAnsiTheme="minorHAnsi"/>
          <w:color w:val="000000"/>
          <w:sz w:val="24"/>
          <w:szCs w:val="24"/>
        </w:rPr>
        <w:t xml:space="preserve">view of all </w:t>
      </w:r>
      <w:proofErr w:type="spellStart"/>
      <w:r w:rsidR="00415C95">
        <w:rPr>
          <w:rFonts w:asciiTheme="minorHAnsi" w:hAnsiTheme="minorHAnsi"/>
          <w:color w:val="000000"/>
          <w:sz w:val="24"/>
          <w:szCs w:val="24"/>
        </w:rPr>
        <w:t>orthognathic</w:t>
      </w:r>
      <w:proofErr w:type="spellEnd"/>
      <w:r w:rsidR="00415C95">
        <w:rPr>
          <w:rFonts w:asciiTheme="minorHAnsi" w:hAnsiTheme="minorHAnsi"/>
          <w:color w:val="000000"/>
          <w:sz w:val="24"/>
          <w:szCs w:val="24"/>
        </w:rPr>
        <w:t xml:space="preserve"> surgery</w:t>
      </w:r>
      <w:r w:rsidR="000A208E" w:rsidRPr="00E65F4F">
        <w:rPr>
          <w:rFonts w:asciiTheme="minorHAnsi" w:hAnsiTheme="minorHAnsi"/>
          <w:color w:val="000000"/>
          <w:sz w:val="24"/>
          <w:szCs w:val="24"/>
        </w:rPr>
        <w:t xml:space="preserve"> carried out at Aberdeen Royal Infirmary between May 2011 and May 2017. </w:t>
      </w:r>
      <w:r w:rsidR="00341831" w:rsidRPr="00E65F4F">
        <w:rPr>
          <w:rFonts w:asciiTheme="minorHAnsi" w:hAnsiTheme="minorHAnsi"/>
          <w:color w:val="000000"/>
          <w:sz w:val="24"/>
          <w:szCs w:val="24"/>
        </w:rPr>
        <w:t>RESULTS</w:t>
      </w:r>
      <w:r w:rsidR="000A208E" w:rsidRPr="00E65F4F">
        <w:rPr>
          <w:rFonts w:asciiTheme="minorHAnsi" w:hAnsiTheme="minorHAnsi"/>
          <w:color w:val="000000"/>
          <w:sz w:val="24"/>
          <w:szCs w:val="24"/>
        </w:rPr>
        <w:t xml:space="preserve">: One hundred and ninety nine </w:t>
      </w:r>
      <w:r w:rsidR="00415C95">
        <w:rPr>
          <w:rFonts w:asciiTheme="minorHAnsi" w:hAnsiTheme="minorHAnsi"/>
          <w:color w:val="000000"/>
          <w:sz w:val="24"/>
          <w:szCs w:val="24"/>
        </w:rPr>
        <w:t>mandibular osteotomies</w:t>
      </w:r>
      <w:r w:rsidR="000A208E" w:rsidRPr="00E65F4F">
        <w:rPr>
          <w:rFonts w:asciiTheme="minorHAnsi" w:hAnsiTheme="minorHAnsi"/>
          <w:color w:val="000000"/>
          <w:sz w:val="24"/>
          <w:szCs w:val="24"/>
        </w:rPr>
        <w:t xml:space="preserve"> were carried out, and full surgical records were available for 166 of these. </w:t>
      </w:r>
      <w:r w:rsidR="00341831" w:rsidRPr="00E65F4F">
        <w:rPr>
          <w:rFonts w:asciiTheme="minorHAnsi" w:hAnsiTheme="minorHAnsi"/>
          <w:color w:val="000000"/>
          <w:sz w:val="24"/>
          <w:szCs w:val="24"/>
        </w:rPr>
        <w:t xml:space="preserve">85 advances </w:t>
      </w:r>
      <w:r w:rsidR="002B2C85">
        <w:rPr>
          <w:rFonts w:asciiTheme="minorHAnsi" w:hAnsiTheme="minorHAnsi"/>
          <w:color w:val="000000"/>
          <w:sz w:val="24"/>
          <w:szCs w:val="24"/>
        </w:rPr>
        <w:t xml:space="preserve">and 81 setbacks </w:t>
      </w:r>
      <w:r w:rsidR="00341831" w:rsidRPr="00E65F4F">
        <w:rPr>
          <w:rFonts w:asciiTheme="minorHAnsi" w:hAnsiTheme="minorHAnsi"/>
          <w:color w:val="000000"/>
          <w:sz w:val="24"/>
          <w:szCs w:val="24"/>
        </w:rPr>
        <w:t>were</w:t>
      </w:r>
      <w:r w:rsidR="00300FF0">
        <w:rPr>
          <w:rFonts w:asciiTheme="minorHAnsi" w:hAnsiTheme="minorHAnsi"/>
          <w:color w:val="000000"/>
          <w:sz w:val="24"/>
          <w:szCs w:val="24"/>
        </w:rPr>
        <w:t xml:space="preserve"> identified, with mean advance 6.77mm (1 to </w:t>
      </w:r>
      <w:r w:rsidR="00341831" w:rsidRPr="00E65F4F">
        <w:rPr>
          <w:rFonts w:asciiTheme="minorHAnsi" w:hAnsiTheme="minorHAnsi"/>
          <w:color w:val="000000"/>
          <w:sz w:val="24"/>
          <w:szCs w:val="24"/>
        </w:rPr>
        <w:t>15mm SD 3.00mm)</w:t>
      </w:r>
      <w:r w:rsidR="002B2C85">
        <w:rPr>
          <w:rFonts w:asciiTheme="minorHAnsi" w:hAnsiTheme="minorHAnsi"/>
          <w:color w:val="000000"/>
          <w:sz w:val="24"/>
          <w:szCs w:val="24"/>
        </w:rPr>
        <w:t xml:space="preserve"> and mean setback of </w:t>
      </w:r>
      <w:r w:rsidR="00300FF0">
        <w:rPr>
          <w:rFonts w:asciiTheme="minorHAnsi" w:hAnsiTheme="minorHAnsi"/>
          <w:color w:val="000000"/>
          <w:sz w:val="24"/>
          <w:szCs w:val="24"/>
        </w:rPr>
        <w:t xml:space="preserve">4.66mm (1 to </w:t>
      </w:r>
      <w:r w:rsidR="002B2C85">
        <w:rPr>
          <w:rFonts w:asciiTheme="minorHAnsi" w:hAnsiTheme="minorHAnsi"/>
          <w:color w:val="000000"/>
          <w:sz w:val="24"/>
          <w:szCs w:val="24"/>
        </w:rPr>
        <w:t>10mm, SD 2.00mm)</w:t>
      </w:r>
      <w:r w:rsidR="00341831" w:rsidRPr="00E65F4F">
        <w:rPr>
          <w:rFonts w:asciiTheme="minorHAnsi" w:hAnsiTheme="minorHAnsi"/>
          <w:color w:val="000000"/>
          <w:sz w:val="24"/>
          <w:szCs w:val="24"/>
        </w:rPr>
        <w:t xml:space="preserve">. 25 patients underwent subsequent plate removal, 11 </w:t>
      </w:r>
      <w:proofErr w:type="gramStart"/>
      <w:r w:rsidR="00341831" w:rsidRPr="00E65F4F">
        <w:rPr>
          <w:rFonts w:asciiTheme="minorHAnsi" w:hAnsiTheme="minorHAnsi"/>
          <w:color w:val="000000"/>
          <w:sz w:val="24"/>
          <w:szCs w:val="24"/>
        </w:rPr>
        <w:t>who</w:t>
      </w:r>
      <w:proofErr w:type="gramEnd"/>
      <w:r w:rsidR="00341831" w:rsidRPr="00E65F4F">
        <w:rPr>
          <w:rFonts w:asciiTheme="minorHAnsi" w:hAnsiTheme="minorHAnsi"/>
          <w:color w:val="000000"/>
          <w:sz w:val="24"/>
          <w:szCs w:val="24"/>
        </w:rPr>
        <w:t xml:space="preserve"> had undergone BSSO advance</w:t>
      </w:r>
      <w:r w:rsidR="002B2C85">
        <w:rPr>
          <w:rFonts w:asciiTheme="minorHAnsi" w:hAnsiTheme="minorHAnsi"/>
          <w:color w:val="000000"/>
          <w:sz w:val="24"/>
          <w:szCs w:val="24"/>
        </w:rPr>
        <w:t xml:space="preserve"> and 7 setback</w:t>
      </w:r>
      <w:r w:rsidR="00341831" w:rsidRPr="00E65F4F">
        <w:rPr>
          <w:rFonts w:asciiTheme="minorHAnsi" w:hAnsiTheme="minorHAnsi"/>
          <w:color w:val="000000"/>
          <w:sz w:val="24"/>
          <w:szCs w:val="24"/>
        </w:rPr>
        <w:t xml:space="preserve">. There was no significant correlation between size of advance and plate removal. </w:t>
      </w:r>
      <w:r w:rsidR="00E65F4F" w:rsidRPr="00E65F4F">
        <w:rPr>
          <w:rFonts w:asciiTheme="minorHAnsi" w:hAnsiTheme="minorHAnsi"/>
          <w:color w:val="000000"/>
          <w:sz w:val="24"/>
          <w:szCs w:val="24"/>
        </w:rPr>
        <w:t>DISCUSSION</w:t>
      </w:r>
      <w:r w:rsidR="00341831" w:rsidRPr="00E65F4F">
        <w:rPr>
          <w:rFonts w:asciiTheme="minorHAnsi" w:hAnsiTheme="minorHAnsi"/>
          <w:color w:val="000000"/>
          <w:sz w:val="24"/>
          <w:szCs w:val="24"/>
        </w:rPr>
        <w:t>:</w:t>
      </w:r>
      <w:r w:rsidR="00E65F4F" w:rsidRPr="00E65F4F">
        <w:rPr>
          <w:rFonts w:asciiTheme="minorHAnsi" w:hAnsiTheme="minorHAnsi"/>
          <w:color w:val="000000"/>
          <w:sz w:val="24"/>
          <w:szCs w:val="24"/>
        </w:rPr>
        <w:t xml:space="preserve"> </w:t>
      </w:r>
      <w:r w:rsidR="004B659C">
        <w:rPr>
          <w:rFonts w:asciiTheme="minorHAnsi" w:hAnsiTheme="minorHAnsi"/>
          <w:color w:val="000000"/>
          <w:sz w:val="24"/>
          <w:szCs w:val="24"/>
        </w:rPr>
        <w:t xml:space="preserve">Previous risk factors identified for subsequent plate removal include smoking, age, female sex, stainless steel plating systems, mandibular plates, increased number of plates and plates placed close to the upper border of the mandible. We showed that there is no correlation between increased magnitude of mandibular advancement </w:t>
      </w:r>
      <w:r w:rsidR="002B2C85">
        <w:rPr>
          <w:rFonts w:asciiTheme="minorHAnsi" w:hAnsiTheme="minorHAnsi"/>
          <w:color w:val="000000"/>
          <w:sz w:val="24"/>
          <w:szCs w:val="24"/>
        </w:rPr>
        <w:t xml:space="preserve">or setback </w:t>
      </w:r>
      <w:r w:rsidR="004B659C">
        <w:rPr>
          <w:rFonts w:asciiTheme="minorHAnsi" w:hAnsiTheme="minorHAnsi"/>
          <w:color w:val="000000"/>
          <w:sz w:val="24"/>
          <w:szCs w:val="24"/>
        </w:rPr>
        <w:t>and subsequent plate removal.</w:t>
      </w:r>
    </w:p>
    <w:p w14:paraId="420582B5" w14:textId="77777777" w:rsidR="00F2032C" w:rsidRDefault="00F2032C" w:rsidP="008C5E15">
      <w:pPr>
        <w:pStyle w:val="NormalWeb"/>
        <w:rPr>
          <w:rFonts w:asciiTheme="minorHAnsi" w:hAnsiTheme="minorHAnsi"/>
          <w:color w:val="000000"/>
          <w:sz w:val="24"/>
          <w:szCs w:val="24"/>
        </w:rPr>
      </w:pPr>
      <w:r>
        <w:rPr>
          <w:rFonts w:asciiTheme="minorHAnsi" w:hAnsiTheme="minorHAnsi"/>
          <w:color w:val="000000"/>
          <w:sz w:val="24"/>
          <w:szCs w:val="24"/>
        </w:rPr>
        <w:t>BACKGROUND</w:t>
      </w:r>
    </w:p>
    <w:p w14:paraId="4DC69610" w14:textId="6CDD2023" w:rsidR="00D10A72" w:rsidRDefault="00AE25D0" w:rsidP="008C5E15">
      <w:pPr>
        <w:pStyle w:val="NormalWeb"/>
        <w:rPr>
          <w:rFonts w:asciiTheme="minorHAnsi" w:hAnsiTheme="minorHAnsi"/>
          <w:color w:val="000000"/>
          <w:sz w:val="24"/>
          <w:szCs w:val="24"/>
        </w:rPr>
      </w:pPr>
      <w:r>
        <w:rPr>
          <w:rFonts w:asciiTheme="minorHAnsi" w:hAnsiTheme="minorHAnsi"/>
          <w:color w:val="000000"/>
          <w:sz w:val="24"/>
          <w:szCs w:val="24"/>
        </w:rPr>
        <w:t xml:space="preserve">Rigid fixation of the </w:t>
      </w:r>
      <w:r w:rsidR="00300FF0">
        <w:rPr>
          <w:rFonts w:asciiTheme="minorHAnsi" w:hAnsiTheme="minorHAnsi"/>
          <w:color w:val="000000"/>
          <w:sz w:val="24"/>
          <w:szCs w:val="24"/>
        </w:rPr>
        <w:t>mandible</w:t>
      </w:r>
      <w:r w:rsidR="00D10A72" w:rsidRPr="00E65F4F">
        <w:rPr>
          <w:rFonts w:asciiTheme="minorHAnsi" w:hAnsiTheme="minorHAnsi"/>
          <w:color w:val="000000"/>
          <w:sz w:val="24"/>
          <w:szCs w:val="24"/>
        </w:rPr>
        <w:t xml:space="preserve"> has been carried out using metals since the 19</w:t>
      </w:r>
      <w:r w:rsidR="00D10A72" w:rsidRPr="00E65F4F">
        <w:rPr>
          <w:rFonts w:asciiTheme="minorHAnsi" w:hAnsiTheme="minorHAnsi"/>
          <w:color w:val="000000"/>
          <w:sz w:val="24"/>
          <w:szCs w:val="24"/>
          <w:vertAlign w:val="superscript"/>
        </w:rPr>
        <w:t>th</w:t>
      </w:r>
      <w:r w:rsidR="00D10A72" w:rsidRPr="00E65F4F">
        <w:rPr>
          <w:rFonts w:asciiTheme="minorHAnsi" w:hAnsiTheme="minorHAnsi"/>
          <w:color w:val="000000"/>
          <w:sz w:val="24"/>
          <w:szCs w:val="24"/>
        </w:rPr>
        <w:t xml:space="preserve"> century (</w:t>
      </w:r>
      <w:proofErr w:type="spellStart"/>
      <w:r w:rsidR="00D10A72" w:rsidRPr="00E65F4F">
        <w:rPr>
          <w:rFonts w:asciiTheme="minorHAnsi" w:eastAsia="Times New Roman" w:hAnsiTheme="minorHAnsi" w:cs="Arial"/>
          <w:color w:val="303030"/>
          <w:sz w:val="24"/>
          <w:szCs w:val="24"/>
          <w:shd w:val="clear" w:color="auto" w:fill="FFFFFF"/>
        </w:rPr>
        <w:t>Gilardino</w:t>
      </w:r>
      <w:proofErr w:type="spellEnd"/>
      <w:r w:rsidR="00D10A72" w:rsidRPr="00E65F4F">
        <w:rPr>
          <w:rFonts w:asciiTheme="minorHAnsi" w:eastAsia="Times New Roman" w:hAnsiTheme="minorHAnsi" w:cs="Arial"/>
          <w:color w:val="303030"/>
          <w:sz w:val="24"/>
          <w:szCs w:val="24"/>
          <w:shd w:val="clear" w:color="auto" w:fill="FFFFFF"/>
        </w:rPr>
        <w:t xml:space="preserve"> 2009</w:t>
      </w:r>
      <w:r w:rsidR="00D10A72" w:rsidRPr="00E65F4F">
        <w:rPr>
          <w:rFonts w:asciiTheme="minorHAnsi" w:eastAsia="Times New Roman" w:hAnsiTheme="minorHAnsi"/>
          <w:color w:val="000000"/>
          <w:sz w:val="24"/>
          <w:szCs w:val="24"/>
        </w:rPr>
        <w:t>)</w:t>
      </w:r>
      <w:r w:rsidR="00E65F4F" w:rsidRPr="00E65F4F">
        <w:rPr>
          <w:rFonts w:asciiTheme="minorHAnsi" w:eastAsia="Times New Roman" w:hAnsiTheme="minorHAnsi"/>
          <w:color w:val="000000"/>
          <w:sz w:val="24"/>
          <w:szCs w:val="24"/>
        </w:rPr>
        <w:t>, initially with wires, and more recently with metal plates</w:t>
      </w:r>
      <w:r w:rsidR="00D10A72" w:rsidRPr="00E65F4F">
        <w:rPr>
          <w:rFonts w:asciiTheme="minorHAnsi" w:eastAsia="Times New Roman" w:hAnsiTheme="minorHAnsi"/>
          <w:color w:val="000000"/>
          <w:sz w:val="24"/>
          <w:szCs w:val="24"/>
        </w:rPr>
        <w:t xml:space="preserve">. </w:t>
      </w:r>
      <w:r w:rsidR="00300FF0">
        <w:rPr>
          <w:rFonts w:asciiTheme="minorHAnsi" w:eastAsia="Times New Roman" w:hAnsiTheme="minorHAnsi"/>
          <w:color w:val="000000"/>
          <w:sz w:val="24"/>
          <w:szCs w:val="24"/>
        </w:rPr>
        <w:t xml:space="preserve">Early plates were removed routinely due to corrosion, absorption and tissue reaction. </w:t>
      </w:r>
      <w:r w:rsidR="00D10A72" w:rsidRPr="00E65F4F">
        <w:rPr>
          <w:rFonts w:asciiTheme="minorHAnsi" w:hAnsiTheme="minorHAnsi"/>
          <w:color w:val="000000"/>
          <w:sz w:val="24"/>
          <w:szCs w:val="24"/>
        </w:rPr>
        <w:t>Since the introduction of titanium plates in the late 20</w:t>
      </w:r>
      <w:r w:rsidR="00D10A72" w:rsidRPr="00E65F4F">
        <w:rPr>
          <w:rFonts w:asciiTheme="minorHAnsi" w:hAnsiTheme="minorHAnsi"/>
          <w:color w:val="000000"/>
          <w:sz w:val="24"/>
          <w:szCs w:val="24"/>
          <w:vertAlign w:val="superscript"/>
        </w:rPr>
        <w:t>th</w:t>
      </w:r>
      <w:r w:rsidR="00D10A72" w:rsidRPr="00E65F4F">
        <w:rPr>
          <w:rFonts w:asciiTheme="minorHAnsi" w:hAnsiTheme="minorHAnsi"/>
          <w:color w:val="000000"/>
          <w:sz w:val="24"/>
          <w:szCs w:val="24"/>
        </w:rPr>
        <w:t xml:space="preserve"> century, </w:t>
      </w:r>
      <w:r w:rsidR="00251811">
        <w:rPr>
          <w:rFonts w:asciiTheme="minorHAnsi" w:hAnsiTheme="minorHAnsi"/>
          <w:color w:val="000000"/>
          <w:sz w:val="24"/>
          <w:szCs w:val="24"/>
        </w:rPr>
        <w:t xml:space="preserve">plate removal is no longer necessary </w:t>
      </w:r>
      <w:r w:rsidR="00E246C4">
        <w:rPr>
          <w:rFonts w:asciiTheme="minorHAnsi" w:hAnsiTheme="minorHAnsi"/>
          <w:color w:val="000000"/>
          <w:sz w:val="24"/>
          <w:szCs w:val="24"/>
        </w:rPr>
        <w:t>due to improved biocompatibility, strength and corrosion resistance</w:t>
      </w:r>
      <w:r w:rsidR="00251811">
        <w:rPr>
          <w:rFonts w:asciiTheme="minorHAnsi" w:hAnsiTheme="minorHAnsi"/>
          <w:color w:val="000000"/>
          <w:sz w:val="24"/>
          <w:szCs w:val="24"/>
        </w:rPr>
        <w:t>. Therefore</w:t>
      </w:r>
      <w:r w:rsidR="00E246C4">
        <w:rPr>
          <w:rFonts w:asciiTheme="minorHAnsi" w:hAnsiTheme="minorHAnsi"/>
          <w:color w:val="000000"/>
          <w:sz w:val="24"/>
          <w:szCs w:val="24"/>
        </w:rPr>
        <w:t>,</w:t>
      </w:r>
      <w:r w:rsidR="00251811">
        <w:rPr>
          <w:rFonts w:asciiTheme="minorHAnsi" w:hAnsiTheme="minorHAnsi"/>
          <w:color w:val="000000"/>
          <w:sz w:val="24"/>
          <w:szCs w:val="24"/>
        </w:rPr>
        <w:t xml:space="preserve"> </w:t>
      </w:r>
      <w:r w:rsidR="007851BD">
        <w:rPr>
          <w:rFonts w:asciiTheme="minorHAnsi" w:hAnsiTheme="minorHAnsi"/>
          <w:color w:val="000000"/>
          <w:sz w:val="24"/>
          <w:szCs w:val="24"/>
        </w:rPr>
        <w:t xml:space="preserve">most </w:t>
      </w:r>
      <w:r w:rsidR="00E246C4">
        <w:rPr>
          <w:rFonts w:asciiTheme="minorHAnsi" w:hAnsiTheme="minorHAnsi"/>
          <w:color w:val="000000"/>
          <w:sz w:val="24"/>
          <w:szCs w:val="24"/>
        </w:rPr>
        <w:t xml:space="preserve">patients who undergo </w:t>
      </w:r>
      <w:proofErr w:type="spellStart"/>
      <w:r w:rsidR="00E246C4">
        <w:rPr>
          <w:rFonts w:asciiTheme="minorHAnsi" w:hAnsiTheme="minorHAnsi"/>
          <w:color w:val="000000"/>
          <w:sz w:val="24"/>
          <w:szCs w:val="24"/>
        </w:rPr>
        <w:t>orthognathic</w:t>
      </w:r>
      <w:proofErr w:type="spellEnd"/>
      <w:r w:rsidR="00E246C4">
        <w:rPr>
          <w:rFonts w:asciiTheme="minorHAnsi" w:hAnsiTheme="minorHAnsi"/>
          <w:color w:val="000000"/>
          <w:sz w:val="24"/>
          <w:szCs w:val="24"/>
        </w:rPr>
        <w:t xml:space="preserve"> surgery do not undergo subsequent plate removal</w:t>
      </w:r>
      <w:r w:rsidR="00D10A72" w:rsidRPr="00E65F4F">
        <w:rPr>
          <w:rFonts w:asciiTheme="minorHAnsi" w:hAnsiTheme="minorHAnsi"/>
          <w:color w:val="000000"/>
          <w:sz w:val="24"/>
          <w:szCs w:val="24"/>
        </w:rPr>
        <w:t xml:space="preserve"> (Mathew 1999</w:t>
      </w:r>
      <w:r w:rsidR="00E246C4">
        <w:rPr>
          <w:rFonts w:asciiTheme="minorHAnsi" w:hAnsiTheme="minorHAnsi"/>
          <w:color w:val="000000"/>
          <w:sz w:val="24"/>
          <w:szCs w:val="24"/>
        </w:rPr>
        <w:t>).</w:t>
      </w:r>
      <w:r w:rsidR="00D10A72" w:rsidRPr="00E65F4F">
        <w:rPr>
          <w:rFonts w:asciiTheme="minorHAnsi" w:hAnsiTheme="minorHAnsi"/>
          <w:color w:val="000000"/>
          <w:sz w:val="24"/>
          <w:szCs w:val="24"/>
        </w:rPr>
        <w:t xml:space="preserve"> </w:t>
      </w:r>
    </w:p>
    <w:p w14:paraId="7EDB8381" w14:textId="4F37B4C5" w:rsidR="003E733E" w:rsidRDefault="003E733E" w:rsidP="003E733E">
      <w:pPr>
        <w:pStyle w:val="NormalWeb"/>
        <w:rPr>
          <w:rFonts w:asciiTheme="minorHAnsi" w:hAnsiTheme="minorHAnsi"/>
          <w:color w:val="000000"/>
          <w:sz w:val="24"/>
          <w:szCs w:val="24"/>
        </w:rPr>
      </w:pPr>
      <w:r>
        <w:rPr>
          <w:rFonts w:asciiTheme="minorHAnsi" w:hAnsiTheme="minorHAnsi"/>
          <w:color w:val="000000"/>
          <w:sz w:val="24"/>
          <w:szCs w:val="24"/>
        </w:rPr>
        <w:t xml:space="preserve">However, metal plate removal remains relatively </w:t>
      </w:r>
      <w:r w:rsidRPr="00E65F4F">
        <w:rPr>
          <w:rFonts w:asciiTheme="minorHAnsi" w:hAnsiTheme="minorHAnsi"/>
          <w:color w:val="000000"/>
          <w:sz w:val="24"/>
          <w:szCs w:val="24"/>
        </w:rPr>
        <w:t xml:space="preserve">common </w:t>
      </w:r>
      <w:r>
        <w:rPr>
          <w:rFonts w:asciiTheme="minorHAnsi" w:hAnsiTheme="minorHAnsi"/>
          <w:color w:val="000000"/>
          <w:sz w:val="24"/>
          <w:szCs w:val="24"/>
        </w:rPr>
        <w:t>following BSSO</w:t>
      </w:r>
      <w:r w:rsidRPr="00E65F4F">
        <w:rPr>
          <w:rFonts w:asciiTheme="minorHAnsi" w:hAnsiTheme="minorHAnsi"/>
          <w:color w:val="000000"/>
          <w:sz w:val="24"/>
          <w:szCs w:val="24"/>
        </w:rPr>
        <w:t>, with between 6.5% and 27.5% of patients requiring removal of some or all of their hardware</w:t>
      </w:r>
      <w:r>
        <w:rPr>
          <w:rFonts w:asciiTheme="minorHAnsi" w:hAnsiTheme="minorHAnsi"/>
          <w:color w:val="000000"/>
          <w:sz w:val="24"/>
          <w:szCs w:val="24"/>
        </w:rPr>
        <w:t xml:space="preserve"> (see table three)</w:t>
      </w:r>
      <w:r w:rsidRPr="00E65F4F">
        <w:rPr>
          <w:rFonts w:asciiTheme="minorHAnsi" w:hAnsiTheme="minorHAnsi"/>
          <w:color w:val="000000"/>
          <w:sz w:val="24"/>
          <w:szCs w:val="24"/>
        </w:rPr>
        <w:t xml:space="preserve">. </w:t>
      </w:r>
      <w:r>
        <w:rPr>
          <w:rFonts w:asciiTheme="minorHAnsi" w:hAnsiTheme="minorHAnsi"/>
          <w:color w:val="000000"/>
          <w:sz w:val="24"/>
          <w:szCs w:val="24"/>
        </w:rPr>
        <w:t xml:space="preserve">Indications for plate removal include pain, infection, swelling, dehiscence of soft tissues, palpable plate, aesthetics, intermittent pain with cold temperatures, broken plates, and removal to allow normal bone growth in young patients. </w:t>
      </w:r>
      <w:r w:rsidRPr="00E65F4F">
        <w:rPr>
          <w:rFonts w:asciiTheme="minorHAnsi" w:hAnsiTheme="minorHAnsi"/>
          <w:color w:val="000000"/>
          <w:sz w:val="24"/>
          <w:szCs w:val="24"/>
        </w:rPr>
        <w:t>Potential risk factors include</w:t>
      </w:r>
      <w:r>
        <w:rPr>
          <w:rFonts w:asciiTheme="minorHAnsi" w:hAnsiTheme="minorHAnsi"/>
          <w:color w:val="000000"/>
          <w:sz w:val="24"/>
          <w:szCs w:val="24"/>
        </w:rPr>
        <w:t xml:space="preserve"> gender, age,</w:t>
      </w:r>
      <w:r w:rsidRPr="00E65F4F">
        <w:rPr>
          <w:rFonts w:asciiTheme="minorHAnsi" w:hAnsiTheme="minorHAnsi"/>
          <w:color w:val="000000"/>
          <w:sz w:val="24"/>
          <w:szCs w:val="24"/>
        </w:rPr>
        <w:t xml:space="preserve"> smoking, </w:t>
      </w:r>
      <w:r>
        <w:rPr>
          <w:rFonts w:asciiTheme="minorHAnsi" w:hAnsiTheme="minorHAnsi"/>
          <w:color w:val="000000"/>
          <w:sz w:val="24"/>
          <w:szCs w:val="24"/>
        </w:rPr>
        <w:t xml:space="preserve">type of plate, position of plate, </w:t>
      </w:r>
      <w:r w:rsidRPr="00E65F4F">
        <w:rPr>
          <w:rFonts w:asciiTheme="minorHAnsi" w:hAnsiTheme="minorHAnsi"/>
          <w:color w:val="000000"/>
          <w:sz w:val="24"/>
          <w:szCs w:val="24"/>
        </w:rPr>
        <w:t>and length of procedure</w:t>
      </w:r>
      <w:r>
        <w:rPr>
          <w:rFonts w:asciiTheme="minorHAnsi" w:hAnsiTheme="minorHAnsi"/>
          <w:color w:val="000000"/>
          <w:sz w:val="24"/>
          <w:szCs w:val="24"/>
        </w:rPr>
        <w:t xml:space="preserve"> (see table three).</w:t>
      </w:r>
    </w:p>
    <w:p w14:paraId="1EB485D6" w14:textId="3F613156" w:rsidR="00D10A72" w:rsidRPr="00E65F4F" w:rsidRDefault="007851BD" w:rsidP="008C5E15">
      <w:pPr>
        <w:pStyle w:val="NormalWeb"/>
        <w:rPr>
          <w:rFonts w:asciiTheme="minorHAnsi" w:hAnsiTheme="minorHAnsi"/>
          <w:color w:val="000000"/>
          <w:sz w:val="24"/>
          <w:szCs w:val="24"/>
        </w:rPr>
      </w:pPr>
      <w:r>
        <w:rPr>
          <w:rFonts w:asciiTheme="minorHAnsi" w:hAnsiTheme="minorHAnsi"/>
          <w:color w:val="000000"/>
          <w:sz w:val="24"/>
          <w:szCs w:val="24"/>
        </w:rPr>
        <w:t>During bilateral sagittal split osteotomy (BSSO),</w:t>
      </w:r>
      <w:r w:rsidR="0042604D" w:rsidRPr="00E65F4F">
        <w:rPr>
          <w:rFonts w:asciiTheme="minorHAnsi" w:hAnsiTheme="minorHAnsi"/>
          <w:color w:val="000000"/>
          <w:sz w:val="24"/>
          <w:szCs w:val="24"/>
        </w:rPr>
        <w:t xml:space="preserve"> </w:t>
      </w:r>
      <w:r w:rsidR="00E246C4">
        <w:rPr>
          <w:rFonts w:asciiTheme="minorHAnsi" w:hAnsiTheme="minorHAnsi"/>
          <w:color w:val="000000"/>
          <w:sz w:val="24"/>
          <w:szCs w:val="24"/>
        </w:rPr>
        <w:t>the mandible</w:t>
      </w:r>
      <w:r w:rsidR="0042604D" w:rsidRPr="00E65F4F">
        <w:rPr>
          <w:rFonts w:asciiTheme="minorHAnsi" w:hAnsiTheme="minorHAnsi"/>
          <w:color w:val="000000"/>
          <w:sz w:val="24"/>
          <w:szCs w:val="24"/>
        </w:rPr>
        <w:t xml:space="preserve"> </w:t>
      </w:r>
      <w:r w:rsidR="00900EEB" w:rsidRPr="00E65F4F">
        <w:rPr>
          <w:rFonts w:asciiTheme="minorHAnsi" w:hAnsiTheme="minorHAnsi"/>
          <w:color w:val="000000"/>
          <w:sz w:val="24"/>
          <w:szCs w:val="24"/>
        </w:rPr>
        <w:t>may be advanced</w:t>
      </w:r>
      <w:r w:rsidR="0042604D" w:rsidRPr="00E65F4F">
        <w:rPr>
          <w:rFonts w:asciiTheme="minorHAnsi" w:hAnsiTheme="minorHAnsi"/>
          <w:color w:val="000000"/>
          <w:sz w:val="24"/>
          <w:szCs w:val="24"/>
        </w:rPr>
        <w:t xml:space="preserve"> or setback </w:t>
      </w:r>
      <w:r w:rsidR="00E65F4F">
        <w:rPr>
          <w:rFonts w:asciiTheme="minorHAnsi" w:hAnsiTheme="minorHAnsi"/>
          <w:color w:val="000000"/>
          <w:sz w:val="24"/>
          <w:szCs w:val="24"/>
        </w:rPr>
        <w:t>up to around 15mm</w:t>
      </w:r>
      <w:r w:rsidR="0042604D" w:rsidRPr="00E65F4F">
        <w:rPr>
          <w:rFonts w:asciiTheme="minorHAnsi" w:hAnsiTheme="minorHAnsi"/>
          <w:color w:val="000000"/>
          <w:sz w:val="24"/>
          <w:szCs w:val="24"/>
        </w:rPr>
        <w:t xml:space="preserve">, however </w:t>
      </w:r>
      <w:r w:rsidR="00900EEB" w:rsidRPr="00E65F4F">
        <w:rPr>
          <w:rFonts w:asciiTheme="minorHAnsi" w:hAnsiTheme="minorHAnsi"/>
          <w:color w:val="000000"/>
          <w:sz w:val="24"/>
          <w:szCs w:val="24"/>
        </w:rPr>
        <w:t>certain</w:t>
      </w:r>
      <w:r w:rsidR="0042604D" w:rsidRPr="00E65F4F">
        <w:rPr>
          <w:rFonts w:asciiTheme="minorHAnsi" w:hAnsiTheme="minorHAnsi"/>
          <w:color w:val="000000"/>
          <w:sz w:val="24"/>
          <w:szCs w:val="24"/>
        </w:rPr>
        <w:t xml:space="preserve"> movements</w:t>
      </w:r>
      <w:r w:rsidR="00900EEB" w:rsidRPr="00E65F4F">
        <w:rPr>
          <w:rFonts w:asciiTheme="minorHAnsi" w:hAnsiTheme="minorHAnsi"/>
          <w:color w:val="000000"/>
          <w:sz w:val="24"/>
          <w:szCs w:val="24"/>
        </w:rPr>
        <w:t xml:space="preserve">, such as mandibular setback </w:t>
      </w:r>
      <w:r w:rsidR="00E246C4">
        <w:rPr>
          <w:rFonts w:asciiTheme="minorHAnsi" w:hAnsiTheme="minorHAnsi"/>
          <w:color w:val="000000"/>
          <w:sz w:val="24"/>
          <w:szCs w:val="24"/>
        </w:rPr>
        <w:t>and advances over 10mm may relapse</w:t>
      </w:r>
      <w:r w:rsidR="003E733E">
        <w:rPr>
          <w:rFonts w:asciiTheme="minorHAnsi" w:hAnsiTheme="minorHAnsi"/>
          <w:color w:val="000000"/>
          <w:sz w:val="24"/>
          <w:szCs w:val="24"/>
        </w:rPr>
        <w:t>,</w:t>
      </w:r>
      <w:r w:rsidR="00E246C4">
        <w:rPr>
          <w:rFonts w:asciiTheme="minorHAnsi" w:hAnsiTheme="minorHAnsi"/>
          <w:color w:val="000000"/>
          <w:sz w:val="24"/>
          <w:szCs w:val="24"/>
        </w:rPr>
        <w:t xml:space="preserve"> predominantly due to the effects </w:t>
      </w:r>
      <w:r w:rsidR="00E246C4">
        <w:rPr>
          <w:rFonts w:asciiTheme="minorHAnsi" w:hAnsiTheme="minorHAnsi"/>
          <w:color w:val="000000"/>
          <w:sz w:val="24"/>
          <w:szCs w:val="24"/>
        </w:rPr>
        <w:lastRenderedPageBreak/>
        <w:t>of soft tissues. M</w:t>
      </w:r>
      <w:r w:rsidR="00900EEB" w:rsidRPr="00E65F4F">
        <w:rPr>
          <w:rFonts w:asciiTheme="minorHAnsi" w:hAnsiTheme="minorHAnsi"/>
          <w:color w:val="000000"/>
          <w:sz w:val="24"/>
          <w:szCs w:val="24"/>
        </w:rPr>
        <w:t xml:space="preserve">andibular advances up to 10mm are </w:t>
      </w:r>
      <w:r w:rsidR="00E65F4F">
        <w:rPr>
          <w:rFonts w:asciiTheme="minorHAnsi" w:hAnsiTheme="minorHAnsi"/>
          <w:color w:val="000000"/>
          <w:sz w:val="24"/>
          <w:szCs w:val="24"/>
        </w:rPr>
        <w:t xml:space="preserve">thought to be </w:t>
      </w:r>
      <w:r w:rsidR="00900EEB" w:rsidRPr="00E65F4F">
        <w:rPr>
          <w:rFonts w:asciiTheme="minorHAnsi" w:hAnsiTheme="minorHAnsi"/>
          <w:color w:val="000000"/>
          <w:sz w:val="24"/>
          <w:szCs w:val="24"/>
        </w:rPr>
        <w:t>very stable</w:t>
      </w:r>
      <w:r w:rsidR="00E65F4F">
        <w:rPr>
          <w:rFonts w:asciiTheme="minorHAnsi" w:hAnsiTheme="minorHAnsi"/>
          <w:color w:val="000000"/>
          <w:sz w:val="24"/>
          <w:szCs w:val="24"/>
        </w:rPr>
        <w:t xml:space="preserve"> over five years</w:t>
      </w:r>
      <w:r w:rsidR="00900EEB" w:rsidRPr="00E65F4F">
        <w:rPr>
          <w:rFonts w:asciiTheme="minorHAnsi" w:hAnsiTheme="minorHAnsi"/>
          <w:color w:val="000000"/>
          <w:sz w:val="24"/>
          <w:szCs w:val="24"/>
        </w:rPr>
        <w:t xml:space="preserve"> (10% chance of 2mm relapse) and maxillary advances are stable (20% chance of relapse) (Bailey 2004)</w:t>
      </w:r>
      <w:r w:rsidR="0042604D" w:rsidRPr="00E65F4F">
        <w:rPr>
          <w:rFonts w:asciiTheme="minorHAnsi" w:hAnsiTheme="minorHAnsi"/>
          <w:color w:val="000000"/>
          <w:sz w:val="24"/>
          <w:szCs w:val="24"/>
        </w:rPr>
        <w:t xml:space="preserve">. </w:t>
      </w:r>
      <w:r w:rsidR="003E733E">
        <w:rPr>
          <w:rFonts w:asciiTheme="minorHAnsi" w:hAnsiTheme="minorHAnsi"/>
          <w:color w:val="000000"/>
          <w:sz w:val="24"/>
          <w:szCs w:val="24"/>
        </w:rPr>
        <w:t xml:space="preserve">Larger advances result in a longer lever arm and greater forces across the fracture site. Large advances also result in stretching of soft tissues overlying the fracture site, and potential thinning of the soft tissue envelope. Instability of the fracture might allow movement across the fracture line and ingress of oral fluids and potentially contamination of the site. </w:t>
      </w:r>
      <w:r w:rsidR="00256A0A">
        <w:rPr>
          <w:rFonts w:asciiTheme="minorHAnsi" w:hAnsiTheme="minorHAnsi"/>
          <w:color w:val="000000"/>
          <w:sz w:val="24"/>
          <w:szCs w:val="24"/>
        </w:rPr>
        <w:t xml:space="preserve">A thinner soft tissue envelope might exacerbate this effect, with a poorer blood supply and less of a physical </w:t>
      </w:r>
      <w:proofErr w:type="spellStart"/>
      <w:r w:rsidR="00256A0A">
        <w:rPr>
          <w:rFonts w:asciiTheme="minorHAnsi" w:hAnsiTheme="minorHAnsi"/>
          <w:color w:val="000000"/>
          <w:sz w:val="24"/>
          <w:szCs w:val="24"/>
        </w:rPr>
        <w:t>barrri</w:t>
      </w:r>
      <w:proofErr w:type="spellEnd"/>
      <w:r w:rsidR="00256A0A">
        <w:rPr>
          <w:rFonts w:asciiTheme="minorHAnsi" w:hAnsiTheme="minorHAnsi"/>
          <w:color w:val="000000"/>
          <w:sz w:val="24"/>
          <w:szCs w:val="24"/>
        </w:rPr>
        <w:t xml:space="preserve"> between the oral environment and the fracture site. These factors</w:t>
      </w:r>
      <w:r w:rsidR="003E733E">
        <w:rPr>
          <w:rFonts w:asciiTheme="minorHAnsi" w:hAnsiTheme="minorHAnsi"/>
          <w:color w:val="000000"/>
          <w:sz w:val="24"/>
          <w:szCs w:val="24"/>
        </w:rPr>
        <w:t xml:space="preserve"> might predispose to infection, dehiscence and pain, and eventually plate removal.</w:t>
      </w:r>
    </w:p>
    <w:p w14:paraId="41389DD4" w14:textId="0E5C8211" w:rsidR="00A55218" w:rsidRPr="00E65F4F" w:rsidRDefault="00A55218" w:rsidP="008C5E15">
      <w:pPr>
        <w:pStyle w:val="NormalWeb"/>
        <w:rPr>
          <w:rFonts w:asciiTheme="minorHAnsi" w:hAnsiTheme="minorHAnsi"/>
          <w:color w:val="000000"/>
          <w:sz w:val="24"/>
          <w:szCs w:val="24"/>
        </w:rPr>
      </w:pPr>
      <w:r w:rsidRPr="00E65F4F">
        <w:rPr>
          <w:rFonts w:asciiTheme="minorHAnsi" w:hAnsiTheme="minorHAnsi"/>
          <w:color w:val="000000"/>
          <w:sz w:val="24"/>
          <w:szCs w:val="24"/>
        </w:rPr>
        <w:t>We hypothesise</w:t>
      </w:r>
      <w:r w:rsidR="008C5E15" w:rsidRPr="00E65F4F">
        <w:rPr>
          <w:rFonts w:asciiTheme="minorHAnsi" w:hAnsiTheme="minorHAnsi"/>
          <w:color w:val="000000"/>
          <w:sz w:val="24"/>
          <w:szCs w:val="24"/>
        </w:rPr>
        <w:t>d</w:t>
      </w:r>
      <w:r w:rsidRPr="00E65F4F">
        <w:rPr>
          <w:rFonts w:asciiTheme="minorHAnsi" w:hAnsiTheme="minorHAnsi"/>
          <w:color w:val="000000"/>
          <w:sz w:val="24"/>
          <w:szCs w:val="24"/>
        </w:rPr>
        <w:t xml:space="preserve"> that large</w:t>
      </w:r>
      <w:r w:rsidR="00D46ECF">
        <w:rPr>
          <w:rFonts w:asciiTheme="minorHAnsi" w:hAnsiTheme="minorHAnsi"/>
          <w:color w:val="000000"/>
          <w:sz w:val="24"/>
          <w:szCs w:val="24"/>
        </w:rPr>
        <w:t>r</w:t>
      </w:r>
      <w:r w:rsidRPr="00E65F4F">
        <w:rPr>
          <w:rFonts w:asciiTheme="minorHAnsi" w:hAnsiTheme="minorHAnsi"/>
          <w:color w:val="000000"/>
          <w:sz w:val="24"/>
          <w:szCs w:val="24"/>
        </w:rPr>
        <w:t xml:space="preserve"> advances may</w:t>
      </w:r>
      <w:r w:rsidR="008C5E15" w:rsidRPr="00E65F4F">
        <w:rPr>
          <w:rFonts w:asciiTheme="minorHAnsi" w:hAnsiTheme="minorHAnsi"/>
          <w:color w:val="000000"/>
          <w:sz w:val="24"/>
          <w:szCs w:val="24"/>
        </w:rPr>
        <w:t xml:space="preserve"> be a risk factor for subsequent plate removal, as large </w:t>
      </w:r>
      <w:r w:rsidR="00256A0A">
        <w:rPr>
          <w:rFonts w:asciiTheme="minorHAnsi" w:hAnsiTheme="minorHAnsi"/>
          <w:color w:val="000000"/>
          <w:sz w:val="24"/>
          <w:szCs w:val="24"/>
        </w:rPr>
        <w:t>advancements</w:t>
      </w:r>
      <w:r w:rsidRPr="00E65F4F">
        <w:rPr>
          <w:rFonts w:asciiTheme="minorHAnsi" w:hAnsiTheme="minorHAnsi"/>
          <w:color w:val="000000"/>
          <w:sz w:val="24"/>
          <w:szCs w:val="24"/>
        </w:rPr>
        <w:t xml:space="preserve"> result in stretching </w:t>
      </w:r>
      <w:r w:rsidR="00256A0A">
        <w:rPr>
          <w:rFonts w:asciiTheme="minorHAnsi" w:hAnsiTheme="minorHAnsi"/>
          <w:color w:val="000000"/>
          <w:sz w:val="24"/>
          <w:szCs w:val="24"/>
        </w:rPr>
        <w:t xml:space="preserve">and thinning </w:t>
      </w:r>
      <w:r w:rsidRPr="00E65F4F">
        <w:rPr>
          <w:rFonts w:asciiTheme="minorHAnsi" w:hAnsiTheme="minorHAnsi"/>
          <w:color w:val="000000"/>
          <w:sz w:val="24"/>
          <w:szCs w:val="24"/>
        </w:rPr>
        <w:t>of ov</w:t>
      </w:r>
      <w:r w:rsidR="008C5E15" w:rsidRPr="00E65F4F">
        <w:rPr>
          <w:rFonts w:asciiTheme="minorHAnsi" w:hAnsiTheme="minorHAnsi"/>
          <w:color w:val="000000"/>
          <w:sz w:val="24"/>
          <w:szCs w:val="24"/>
        </w:rPr>
        <w:t>erlying soft tissues</w:t>
      </w:r>
      <w:r w:rsidR="00256A0A">
        <w:rPr>
          <w:rFonts w:asciiTheme="minorHAnsi" w:hAnsiTheme="minorHAnsi"/>
          <w:color w:val="000000"/>
          <w:sz w:val="24"/>
          <w:szCs w:val="24"/>
        </w:rPr>
        <w:t xml:space="preserve"> and a longer lever arm over the fracture site. </w:t>
      </w:r>
      <w:r w:rsidR="008C5E15" w:rsidRPr="00E65F4F">
        <w:rPr>
          <w:rFonts w:asciiTheme="minorHAnsi" w:hAnsiTheme="minorHAnsi"/>
          <w:color w:val="000000"/>
          <w:sz w:val="24"/>
          <w:szCs w:val="24"/>
        </w:rPr>
        <w:t>Our aim was to</w:t>
      </w:r>
      <w:r w:rsidRPr="00E65F4F">
        <w:rPr>
          <w:rFonts w:asciiTheme="minorHAnsi" w:hAnsiTheme="minorHAnsi"/>
          <w:color w:val="000000"/>
          <w:sz w:val="24"/>
          <w:szCs w:val="24"/>
        </w:rPr>
        <w:t xml:space="preserve"> determine whether there are correlations between size and direction of mandibular movement and subsequent removal of mandibular plates.</w:t>
      </w:r>
    </w:p>
    <w:p w14:paraId="23C17A60" w14:textId="1B5D333F" w:rsidR="00300FF0" w:rsidRDefault="00300FF0" w:rsidP="00A55218">
      <w:pPr>
        <w:pStyle w:val="NormalWeb"/>
        <w:rPr>
          <w:rFonts w:asciiTheme="minorHAnsi" w:hAnsiTheme="minorHAnsi"/>
          <w:color w:val="000000"/>
          <w:sz w:val="24"/>
          <w:szCs w:val="24"/>
        </w:rPr>
      </w:pPr>
      <w:r>
        <w:rPr>
          <w:rFonts w:asciiTheme="minorHAnsi" w:hAnsiTheme="minorHAnsi"/>
          <w:color w:val="000000"/>
          <w:sz w:val="24"/>
          <w:szCs w:val="24"/>
        </w:rPr>
        <w:t>METHODS AND MATERIALS</w:t>
      </w:r>
    </w:p>
    <w:p w14:paraId="4568D855" w14:textId="290172BE" w:rsidR="00256A0A" w:rsidRDefault="00256A0A" w:rsidP="00A55218">
      <w:pPr>
        <w:pStyle w:val="NormalWeb"/>
        <w:rPr>
          <w:rFonts w:asciiTheme="minorHAnsi" w:hAnsiTheme="minorHAnsi"/>
          <w:color w:val="000000"/>
          <w:sz w:val="24"/>
          <w:szCs w:val="24"/>
        </w:rPr>
      </w:pPr>
      <w:proofErr w:type="gramStart"/>
      <w:r>
        <w:rPr>
          <w:rFonts w:asciiTheme="minorHAnsi" w:hAnsiTheme="minorHAnsi"/>
          <w:color w:val="000000"/>
          <w:sz w:val="24"/>
          <w:szCs w:val="24"/>
        </w:rPr>
        <w:t>Ethics approval was granted by the NHS Grampian/University of Aberdeen local Research Governance manager</w:t>
      </w:r>
      <w:proofErr w:type="gramEnd"/>
      <w:r>
        <w:rPr>
          <w:rFonts w:asciiTheme="minorHAnsi" w:hAnsiTheme="minorHAnsi"/>
          <w:color w:val="000000"/>
          <w:sz w:val="24"/>
          <w:szCs w:val="24"/>
        </w:rPr>
        <w:t xml:space="preserve"> in May 2017.</w:t>
      </w:r>
    </w:p>
    <w:p w14:paraId="4EFA3515" w14:textId="7AD52C65" w:rsidR="00256A0A" w:rsidRPr="00E65F4F" w:rsidRDefault="00256A0A" w:rsidP="00256A0A">
      <w:pPr>
        <w:pStyle w:val="NormalWeb"/>
        <w:rPr>
          <w:rFonts w:asciiTheme="minorHAnsi" w:hAnsiTheme="minorHAnsi"/>
          <w:color w:val="000000"/>
          <w:sz w:val="24"/>
          <w:szCs w:val="24"/>
        </w:rPr>
      </w:pPr>
      <w:r>
        <w:rPr>
          <w:rFonts w:asciiTheme="minorHAnsi" w:hAnsiTheme="minorHAnsi"/>
          <w:color w:val="000000"/>
          <w:sz w:val="24"/>
          <w:szCs w:val="24"/>
        </w:rPr>
        <w:t xml:space="preserve">Initially, a literature review was carried out. The </w:t>
      </w:r>
      <w:proofErr w:type="spellStart"/>
      <w:r>
        <w:rPr>
          <w:rFonts w:asciiTheme="minorHAnsi" w:hAnsiTheme="minorHAnsi"/>
          <w:color w:val="000000"/>
          <w:sz w:val="24"/>
          <w:szCs w:val="24"/>
        </w:rPr>
        <w:t>pubmed</w:t>
      </w:r>
      <w:proofErr w:type="spellEnd"/>
      <w:r>
        <w:rPr>
          <w:rFonts w:asciiTheme="minorHAnsi" w:hAnsiTheme="minorHAnsi"/>
          <w:color w:val="000000"/>
          <w:sz w:val="24"/>
          <w:szCs w:val="24"/>
        </w:rPr>
        <w:t xml:space="preserve"> and </w:t>
      </w:r>
      <w:proofErr w:type="spellStart"/>
      <w:r>
        <w:rPr>
          <w:rFonts w:asciiTheme="minorHAnsi" w:hAnsiTheme="minorHAnsi"/>
          <w:color w:val="000000"/>
          <w:sz w:val="24"/>
          <w:szCs w:val="24"/>
        </w:rPr>
        <w:t>embase</w:t>
      </w:r>
      <w:proofErr w:type="spellEnd"/>
      <w:r>
        <w:rPr>
          <w:rFonts w:asciiTheme="minorHAnsi" w:hAnsiTheme="minorHAnsi"/>
          <w:color w:val="000000"/>
          <w:sz w:val="24"/>
          <w:szCs w:val="24"/>
        </w:rPr>
        <w:t xml:space="preserve"> databases were searched using the term ‘</w:t>
      </w:r>
      <w:proofErr w:type="spellStart"/>
      <w:r>
        <w:rPr>
          <w:rFonts w:asciiTheme="minorHAnsi" w:hAnsiTheme="minorHAnsi"/>
          <w:color w:val="000000"/>
          <w:sz w:val="24"/>
          <w:szCs w:val="24"/>
        </w:rPr>
        <w:t>orthognathic</w:t>
      </w:r>
      <w:proofErr w:type="spellEnd"/>
      <w:r>
        <w:rPr>
          <w:rFonts w:asciiTheme="minorHAnsi" w:hAnsiTheme="minorHAnsi"/>
          <w:color w:val="000000"/>
          <w:sz w:val="24"/>
          <w:szCs w:val="24"/>
        </w:rPr>
        <w:t xml:space="preserve"> AND plate removal’. Titles were screened, abstracts were reviewed and full text retrieved for relevant studies. </w:t>
      </w:r>
    </w:p>
    <w:p w14:paraId="3E13AFA7" w14:textId="77777777" w:rsidR="00A81DEC" w:rsidRDefault="00444857" w:rsidP="00A55218">
      <w:pPr>
        <w:pStyle w:val="NormalWeb"/>
        <w:rPr>
          <w:rFonts w:asciiTheme="minorHAnsi" w:hAnsiTheme="minorHAnsi"/>
          <w:color w:val="000000"/>
          <w:sz w:val="24"/>
          <w:szCs w:val="24"/>
        </w:rPr>
      </w:pPr>
      <w:r>
        <w:rPr>
          <w:rFonts w:asciiTheme="minorHAnsi" w:hAnsiTheme="minorHAnsi"/>
          <w:color w:val="000000"/>
          <w:sz w:val="24"/>
          <w:szCs w:val="24"/>
        </w:rPr>
        <w:t>All cases of o</w:t>
      </w:r>
      <w:r w:rsidR="00D3450F">
        <w:rPr>
          <w:rFonts w:asciiTheme="minorHAnsi" w:hAnsiTheme="minorHAnsi"/>
          <w:color w:val="000000"/>
          <w:sz w:val="24"/>
          <w:szCs w:val="24"/>
        </w:rPr>
        <w:t>rthognathic surgery were identified between May 2011 and May 2017</w:t>
      </w:r>
      <w:r w:rsidR="001D5743">
        <w:rPr>
          <w:rFonts w:asciiTheme="minorHAnsi" w:hAnsiTheme="minorHAnsi"/>
          <w:color w:val="000000"/>
          <w:sz w:val="24"/>
          <w:szCs w:val="24"/>
        </w:rPr>
        <w:t xml:space="preserve"> using the OPERA surgical recording system (Centricity, GE Healthcare). This time scale was</w:t>
      </w:r>
      <w:r w:rsidR="00D3450F">
        <w:rPr>
          <w:rFonts w:asciiTheme="minorHAnsi" w:hAnsiTheme="minorHAnsi"/>
          <w:color w:val="000000"/>
          <w:sz w:val="24"/>
          <w:szCs w:val="24"/>
        </w:rPr>
        <w:t xml:space="preserve"> chosen because the procedure for storing clinical records changed at this time, </w:t>
      </w:r>
      <w:r>
        <w:rPr>
          <w:rFonts w:asciiTheme="minorHAnsi" w:hAnsiTheme="minorHAnsi"/>
          <w:color w:val="000000"/>
          <w:sz w:val="24"/>
          <w:szCs w:val="24"/>
        </w:rPr>
        <w:t>with</w:t>
      </w:r>
      <w:r w:rsidR="00D3450F">
        <w:rPr>
          <w:rFonts w:asciiTheme="minorHAnsi" w:hAnsiTheme="minorHAnsi"/>
          <w:color w:val="000000"/>
          <w:sz w:val="24"/>
          <w:szCs w:val="24"/>
        </w:rPr>
        <w:t xml:space="preserve"> </w:t>
      </w:r>
      <w:r w:rsidR="001D5743">
        <w:rPr>
          <w:rFonts w:asciiTheme="minorHAnsi" w:hAnsiTheme="minorHAnsi"/>
          <w:color w:val="000000"/>
          <w:sz w:val="24"/>
          <w:szCs w:val="24"/>
        </w:rPr>
        <w:t>clinic letters</w:t>
      </w:r>
      <w:r w:rsidR="00D3450F">
        <w:rPr>
          <w:rFonts w:asciiTheme="minorHAnsi" w:hAnsiTheme="minorHAnsi"/>
          <w:color w:val="000000"/>
          <w:sz w:val="24"/>
          <w:szCs w:val="24"/>
        </w:rPr>
        <w:t xml:space="preserve"> before this </w:t>
      </w:r>
      <w:r w:rsidR="001D5743">
        <w:rPr>
          <w:rFonts w:asciiTheme="minorHAnsi" w:hAnsiTheme="minorHAnsi"/>
          <w:color w:val="000000"/>
          <w:sz w:val="24"/>
          <w:szCs w:val="24"/>
        </w:rPr>
        <w:t>not</w:t>
      </w:r>
      <w:r>
        <w:rPr>
          <w:rFonts w:asciiTheme="minorHAnsi" w:hAnsiTheme="minorHAnsi"/>
          <w:color w:val="000000"/>
          <w:sz w:val="24"/>
          <w:szCs w:val="24"/>
        </w:rPr>
        <w:t xml:space="preserve"> being</w:t>
      </w:r>
      <w:r w:rsidR="001D5743">
        <w:rPr>
          <w:rFonts w:asciiTheme="minorHAnsi" w:hAnsiTheme="minorHAnsi"/>
          <w:color w:val="000000"/>
          <w:sz w:val="24"/>
          <w:szCs w:val="24"/>
        </w:rPr>
        <w:t xml:space="preserve"> stored electronically</w:t>
      </w:r>
      <w:r w:rsidR="00D3450F">
        <w:rPr>
          <w:rFonts w:asciiTheme="minorHAnsi" w:hAnsiTheme="minorHAnsi"/>
          <w:color w:val="000000"/>
          <w:sz w:val="24"/>
          <w:szCs w:val="24"/>
        </w:rPr>
        <w:t xml:space="preserve">. </w:t>
      </w:r>
      <w:r w:rsidR="001D5743">
        <w:rPr>
          <w:rFonts w:asciiTheme="minorHAnsi" w:hAnsiTheme="minorHAnsi"/>
          <w:color w:val="000000"/>
          <w:sz w:val="24"/>
          <w:szCs w:val="24"/>
        </w:rPr>
        <w:t>Cases of removed metal work were also gathered in the same way</w:t>
      </w:r>
      <w:r>
        <w:rPr>
          <w:rFonts w:asciiTheme="minorHAnsi" w:hAnsiTheme="minorHAnsi"/>
          <w:color w:val="000000"/>
          <w:sz w:val="24"/>
          <w:szCs w:val="24"/>
        </w:rPr>
        <w:t>, and through hand searching of the local anaesthetic case records maintained by the department.</w:t>
      </w:r>
    </w:p>
    <w:p w14:paraId="14467A07" w14:textId="77777777" w:rsidR="00A81DEC" w:rsidRDefault="001D5743" w:rsidP="00A55218">
      <w:pPr>
        <w:pStyle w:val="NormalWeb"/>
        <w:rPr>
          <w:rFonts w:asciiTheme="minorHAnsi" w:hAnsiTheme="minorHAnsi"/>
          <w:color w:val="000000"/>
          <w:sz w:val="24"/>
          <w:szCs w:val="24"/>
        </w:rPr>
      </w:pPr>
      <w:r>
        <w:rPr>
          <w:rFonts w:asciiTheme="minorHAnsi" w:hAnsiTheme="minorHAnsi"/>
          <w:color w:val="000000"/>
          <w:sz w:val="24"/>
          <w:szCs w:val="24"/>
        </w:rPr>
        <w:t>Clinic letters were retrieved for all cases identified, and cases of removed metalwork not resulting from orthognathic surgery</w:t>
      </w:r>
      <w:r w:rsidR="00A81DEC">
        <w:rPr>
          <w:rFonts w:asciiTheme="minorHAnsi" w:hAnsiTheme="minorHAnsi"/>
          <w:color w:val="000000"/>
          <w:sz w:val="24"/>
          <w:szCs w:val="24"/>
        </w:rPr>
        <w:t xml:space="preserve"> and those whose plates were inserted before May 2011, were excluded. </w:t>
      </w:r>
      <w:r w:rsidR="00791BF8">
        <w:rPr>
          <w:rFonts w:asciiTheme="minorHAnsi" w:hAnsiTheme="minorHAnsi"/>
          <w:color w:val="000000"/>
          <w:sz w:val="24"/>
          <w:szCs w:val="24"/>
        </w:rPr>
        <w:t xml:space="preserve">Smoking status was not recorded for patients operated on before 2014, as their anaesthetic record was not uploaded as standard, and was recorded incompletely on </w:t>
      </w:r>
      <w:r w:rsidR="00444857">
        <w:rPr>
          <w:rFonts w:asciiTheme="minorHAnsi" w:hAnsiTheme="minorHAnsi"/>
          <w:color w:val="000000"/>
          <w:sz w:val="24"/>
          <w:szCs w:val="24"/>
        </w:rPr>
        <w:t xml:space="preserve">more </w:t>
      </w:r>
      <w:r w:rsidR="00791BF8">
        <w:rPr>
          <w:rFonts w:asciiTheme="minorHAnsi" w:hAnsiTheme="minorHAnsi"/>
          <w:color w:val="000000"/>
          <w:sz w:val="24"/>
          <w:szCs w:val="24"/>
        </w:rPr>
        <w:t>recent anaesthetic records, therefore the decision was taken not to include smoki</w:t>
      </w:r>
      <w:r w:rsidR="00444857">
        <w:rPr>
          <w:rFonts w:asciiTheme="minorHAnsi" w:hAnsiTheme="minorHAnsi"/>
          <w:color w:val="000000"/>
          <w:sz w:val="24"/>
          <w:szCs w:val="24"/>
        </w:rPr>
        <w:t>n</w:t>
      </w:r>
      <w:r w:rsidR="00791BF8">
        <w:rPr>
          <w:rFonts w:asciiTheme="minorHAnsi" w:hAnsiTheme="minorHAnsi"/>
          <w:color w:val="000000"/>
          <w:sz w:val="24"/>
          <w:szCs w:val="24"/>
        </w:rPr>
        <w:t xml:space="preserve">g status in the final analysis. </w:t>
      </w:r>
    </w:p>
    <w:p w14:paraId="6EC428A5" w14:textId="77777777" w:rsidR="00A81DEC" w:rsidRDefault="00A81DEC" w:rsidP="00A55218">
      <w:pPr>
        <w:pStyle w:val="NormalWeb"/>
        <w:rPr>
          <w:rFonts w:asciiTheme="minorHAnsi" w:hAnsiTheme="minorHAnsi"/>
          <w:color w:val="000000"/>
          <w:sz w:val="24"/>
          <w:szCs w:val="24"/>
        </w:rPr>
      </w:pPr>
      <w:r>
        <w:rPr>
          <w:rFonts w:asciiTheme="minorHAnsi" w:hAnsiTheme="minorHAnsi"/>
          <w:color w:val="000000"/>
          <w:sz w:val="24"/>
          <w:szCs w:val="24"/>
        </w:rPr>
        <w:t>M</w:t>
      </w:r>
      <w:r w:rsidR="00A55218" w:rsidRPr="00E65F4F">
        <w:rPr>
          <w:rFonts w:asciiTheme="minorHAnsi" w:hAnsiTheme="minorHAnsi"/>
          <w:color w:val="000000"/>
          <w:sz w:val="24"/>
          <w:szCs w:val="24"/>
        </w:rPr>
        <w:t xml:space="preserve">easurements </w:t>
      </w:r>
      <w:r w:rsidR="003C29E0">
        <w:rPr>
          <w:rFonts w:asciiTheme="minorHAnsi" w:hAnsiTheme="minorHAnsi"/>
          <w:color w:val="000000"/>
          <w:sz w:val="24"/>
          <w:szCs w:val="24"/>
        </w:rPr>
        <w:t xml:space="preserve">were </w:t>
      </w:r>
      <w:r w:rsidR="003C29E0" w:rsidRPr="00E65F4F">
        <w:rPr>
          <w:rFonts w:asciiTheme="minorHAnsi" w:hAnsiTheme="minorHAnsi"/>
          <w:color w:val="000000"/>
          <w:sz w:val="24"/>
          <w:szCs w:val="24"/>
        </w:rPr>
        <w:t xml:space="preserve">made of model surgeries </w:t>
      </w:r>
      <w:r>
        <w:rPr>
          <w:rFonts w:asciiTheme="minorHAnsi" w:hAnsiTheme="minorHAnsi"/>
          <w:color w:val="000000"/>
          <w:sz w:val="24"/>
          <w:szCs w:val="24"/>
        </w:rPr>
        <w:t>in combination with wax bites a</w:t>
      </w:r>
      <w:r w:rsidR="002D2362" w:rsidRPr="00E65F4F">
        <w:rPr>
          <w:rFonts w:asciiTheme="minorHAnsi" w:hAnsiTheme="minorHAnsi"/>
          <w:color w:val="000000"/>
          <w:sz w:val="24"/>
          <w:szCs w:val="24"/>
        </w:rPr>
        <w:t>nd intraoperative wafers</w:t>
      </w:r>
      <w:r w:rsidR="00444857">
        <w:rPr>
          <w:rFonts w:asciiTheme="minorHAnsi" w:hAnsiTheme="minorHAnsi"/>
          <w:color w:val="000000"/>
          <w:sz w:val="24"/>
          <w:szCs w:val="24"/>
        </w:rPr>
        <w:t xml:space="preserve"> for each of the patients identified</w:t>
      </w:r>
      <w:r w:rsidR="00A55218" w:rsidRPr="00E65F4F">
        <w:rPr>
          <w:rFonts w:asciiTheme="minorHAnsi" w:hAnsiTheme="minorHAnsi"/>
          <w:color w:val="000000"/>
          <w:sz w:val="24"/>
          <w:szCs w:val="24"/>
        </w:rPr>
        <w:t xml:space="preserve">. </w:t>
      </w:r>
      <w:r>
        <w:rPr>
          <w:rFonts w:asciiTheme="minorHAnsi" w:hAnsiTheme="minorHAnsi"/>
          <w:color w:val="000000"/>
          <w:sz w:val="24"/>
          <w:szCs w:val="24"/>
        </w:rPr>
        <w:t xml:space="preserve">Measurements were usually recorded on the prescription sheet accompanying the models, or noted on the plaster of the models, though when these were unclear or not present, </w:t>
      </w:r>
      <w:r w:rsidR="003C29E0">
        <w:rPr>
          <w:rFonts w:asciiTheme="minorHAnsi" w:hAnsiTheme="minorHAnsi"/>
          <w:color w:val="000000"/>
          <w:sz w:val="24"/>
          <w:szCs w:val="24"/>
        </w:rPr>
        <w:t xml:space="preserve">models were articulated and </w:t>
      </w:r>
      <w:r>
        <w:rPr>
          <w:rFonts w:asciiTheme="minorHAnsi" w:hAnsiTheme="minorHAnsi"/>
          <w:color w:val="000000"/>
          <w:sz w:val="24"/>
          <w:szCs w:val="24"/>
        </w:rPr>
        <w:t xml:space="preserve">new measurements were made using </w:t>
      </w:r>
      <w:proofErr w:type="spellStart"/>
      <w:r>
        <w:rPr>
          <w:rFonts w:asciiTheme="minorHAnsi" w:hAnsiTheme="minorHAnsi"/>
          <w:color w:val="000000"/>
          <w:sz w:val="24"/>
          <w:szCs w:val="24"/>
        </w:rPr>
        <w:t>calipers</w:t>
      </w:r>
      <w:proofErr w:type="spellEnd"/>
      <w:r>
        <w:rPr>
          <w:rFonts w:asciiTheme="minorHAnsi" w:hAnsiTheme="minorHAnsi"/>
          <w:color w:val="000000"/>
          <w:sz w:val="24"/>
          <w:szCs w:val="24"/>
        </w:rPr>
        <w:t xml:space="preserve"> and a ruler. </w:t>
      </w:r>
      <w:r w:rsidR="00D3450F">
        <w:rPr>
          <w:rFonts w:asciiTheme="minorHAnsi" w:hAnsiTheme="minorHAnsi"/>
          <w:color w:val="000000"/>
          <w:sz w:val="24"/>
          <w:szCs w:val="24"/>
        </w:rPr>
        <w:t xml:space="preserve">Data </w:t>
      </w:r>
      <w:r>
        <w:rPr>
          <w:rFonts w:asciiTheme="minorHAnsi" w:hAnsiTheme="minorHAnsi"/>
          <w:color w:val="000000"/>
          <w:sz w:val="24"/>
          <w:szCs w:val="24"/>
        </w:rPr>
        <w:t xml:space="preserve">recorded from these models included </w:t>
      </w:r>
      <w:r w:rsidR="003C29E0">
        <w:rPr>
          <w:rFonts w:asciiTheme="minorHAnsi" w:hAnsiTheme="minorHAnsi"/>
          <w:color w:val="000000"/>
          <w:sz w:val="24"/>
          <w:szCs w:val="24"/>
        </w:rPr>
        <w:t xml:space="preserve">size of </w:t>
      </w:r>
      <w:r>
        <w:rPr>
          <w:rFonts w:asciiTheme="minorHAnsi" w:hAnsiTheme="minorHAnsi"/>
          <w:color w:val="000000"/>
          <w:sz w:val="24"/>
          <w:szCs w:val="24"/>
        </w:rPr>
        <w:t xml:space="preserve">maxillary impaction or </w:t>
      </w:r>
      <w:proofErr w:type="spellStart"/>
      <w:r>
        <w:rPr>
          <w:rFonts w:asciiTheme="minorHAnsi" w:hAnsiTheme="minorHAnsi"/>
          <w:color w:val="000000"/>
          <w:sz w:val="24"/>
          <w:szCs w:val="24"/>
        </w:rPr>
        <w:t>disimpaction</w:t>
      </w:r>
      <w:proofErr w:type="spellEnd"/>
      <w:r>
        <w:rPr>
          <w:rFonts w:asciiTheme="minorHAnsi" w:hAnsiTheme="minorHAnsi"/>
          <w:color w:val="000000"/>
          <w:sz w:val="24"/>
          <w:szCs w:val="24"/>
        </w:rPr>
        <w:t xml:space="preserve"> (at first molar position and incisor position), </w:t>
      </w:r>
      <w:r w:rsidR="003C29E0">
        <w:rPr>
          <w:rFonts w:asciiTheme="minorHAnsi" w:hAnsiTheme="minorHAnsi"/>
          <w:color w:val="000000"/>
          <w:sz w:val="24"/>
          <w:szCs w:val="24"/>
        </w:rPr>
        <w:t>size</w:t>
      </w:r>
      <w:r>
        <w:rPr>
          <w:rFonts w:asciiTheme="minorHAnsi" w:hAnsiTheme="minorHAnsi"/>
          <w:color w:val="000000"/>
          <w:sz w:val="24"/>
          <w:szCs w:val="24"/>
        </w:rPr>
        <w:t xml:space="preserve"> of </w:t>
      </w:r>
      <w:r w:rsidR="003C29E0">
        <w:rPr>
          <w:rFonts w:asciiTheme="minorHAnsi" w:hAnsiTheme="minorHAnsi"/>
          <w:color w:val="000000"/>
          <w:sz w:val="24"/>
          <w:szCs w:val="24"/>
        </w:rPr>
        <w:t xml:space="preserve">maxillary </w:t>
      </w:r>
      <w:r>
        <w:rPr>
          <w:rFonts w:asciiTheme="minorHAnsi" w:hAnsiTheme="minorHAnsi"/>
          <w:color w:val="000000"/>
          <w:sz w:val="24"/>
          <w:szCs w:val="24"/>
        </w:rPr>
        <w:t xml:space="preserve">advance or setback and </w:t>
      </w:r>
      <w:r w:rsidR="003C29E0">
        <w:rPr>
          <w:rFonts w:asciiTheme="minorHAnsi" w:hAnsiTheme="minorHAnsi"/>
          <w:color w:val="000000"/>
          <w:sz w:val="24"/>
          <w:szCs w:val="24"/>
        </w:rPr>
        <w:t>size</w:t>
      </w:r>
      <w:r>
        <w:rPr>
          <w:rFonts w:asciiTheme="minorHAnsi" w:hAnsiTheme="minorHAnsi"/>
          <w:color w:val="000000"/>
          <w:sz w:val="24"/>
          <w:szCs w:val="24"/>
        </w:rPr>
        <w:t xml:space="preserve"> of mandibular advance or setback. Where the movement was rotational, an average of the measure on each side was taken. </w:t>
      </w:r>
    </w:p>
    <w:p w14:paraId="7658346E" w14:textId="13801DA2" w:rsidR="00A55218" w:rsidRDefault="00A81DEC" w:rsidP="00A55218">
      <w:pPr>
        <w:pStyle w:val="NormalWeb"/>
        <w:rPr>
          <w:rFonts w:asciiTheme="minorHAnsi" w:hAnsiTheme="minorHAnsi"/>
          <w:color w:val="000000"/>
          <w:sz w:val="24"/>
          <w:szCs w:val="24"/>
        </w:rPr>
      </w:pPr>
      <w:r>
        <w:rPr>
          <w:rFonts w:asciiTheme="minorHAnsi" w:hAnsiTheme="minorHAnsi"/>
          <w:color w:val="000000"/>
          <w:sz w:val="24"/>
          <w:szCs w:val="24"/>
        </w:rPr>
        <w:t xml:space="preserve">Data recorded </w:t>
      </w:r>
      <w:r w:rsidR="00D3450F">
        <w:rPr>
          <w:rFonts w:asciiTheme="minorHAnsi" w:hAnsiTheme="minorHAnsi"/>
          <w:color w:val="000000"/>
          <w:sz w:val="24"/>
          <w:szCs w:val="24"/>
        </w:rPr>
        <w:t>included age, sex and hospital number</w:t>
      </w:r>
      <w:r w:rsidR="00A55218" w:rsidRPr="00E65F4F">
        <w:rPr>
          <w:rFonts w:asciiTheme="minorHAnsi" w:hAnsiTheme="minorHAnsi"/>
          <w:color w:val="000000"/>
          <w:sz w:val="24"/>
          <w:szCs w:val="24"/>
        </w:rPr>
        <w:t xml:space="preserve">, size and direction of </w:t>
      </w:r>
      <w:proofErr w:type="spellStart"/>
      <w:r w:rsidR="00A55218" w:rsidRPr="00E65F4F">
        <w:rPr>
          <w:rFonts w:asciiTheme="minorHAnsi" w:hAnsiTheme="minorHAnsi"/>
          <w:color w:val="000000"/>
          <w:sz w:val="24"/>
          <w:szCs w:val="24"/>
        </w:rPr>
        <w:t>ostoetomy</w:t>
      </w:r>
      <w:proofErr w:type="spellEnd"/>
      <w:r w:rsidR="00A55218" w:rsidRPr="00E65F4F">
        <w:rPr>
          <w:rFonts w:asciiTheme="minorHAnsi" w:hAnsiTheme="minorHAnsi"/>
          <w:color w:val="000000"/>
          <w:sz w:val="24"/>
          <w:szCs w:val="24"/>
        </w:rPr>
        <w:t xml:space="preserve"> movements, whether plate was subsequently removed, and indication for </w:t>
      </w:r>
      <w:r w:rsidR="00D3450F">
        <w:rPr>
          <w:rFonts w:asciiTheme="minorHAnsi" w:hAnsiTheme="minorHAnsi"/>
          <w:color w:val="000000"/>
          <w:sz w:val="24"/>
          <w:szCs w:val="24"/>
        </w:rPr>
        <w:t>plate removal (from clinic letter)</w:t>
      </w:r>
      <w:r w:rsidR="00A55218" w:rsidRPr="00E65F4F">
        <w:rPr>
          <w:rFonts w:asciiTheme="minorHAnsi" w:hAnsiTheme="minorHAnsi"/>
          <w:color w:val="000000"/>
          <w:sz w:val="24"/>
          <w:szCs w:val="24"/>
        </w:rPr>
        <w:t xml:space="preserve">. </w:t>
      </w:r>
      <w:r w:rsidR="00D3450F">
        <w:rPr>
          <w:rFonts w:asciiTheme="minorHAnsi" w:hAnsiTheme="minorHAnsi"/>
          <w:color w:val="000000"/>
          <w:sz w:val="24"/>
          <w:szCs w:val="24"/>
        </w:rPr>
        <w:t>Data was anonymised and</w:t>
      </w:r>
      <w:r w:rsidR="00A55218" w:rsidRPr="00E65F4F">
        <w:rPr>
          <w:rFonts w:asciiTheme="minorHAnsi" w:hAnsiTheme="minorHAnsi"/>
          <w:color w:val="000000"/>
          <w:sz w:val="24"/>
          <w:szCs w:val="24"/>
        </w:rPr>
        <w:t xml:space="preserve"> </w:t>
      </w:r>
      <w:r w:rsidR="00D3450F">
        <w:rPr>
          <w:rFonts w:asciiTheme="minorHAnsi" w:hAnsiTheme="minorHAnsi"/>
          <w:color w:val="000000"/>
          <w:sz w:val="24"/>
          <w:szCs w:val="24"/>
        </w:rPr>
        <w:t xml:space="preserve">compiled in Microsoft Excel and </w:t>
      </w:r>
      <w:r w:rsidR="00A55218" w:rsidRPr="00E65F4F">
        <w:rPr>
          <w:rFonts w:asciiTheme="minorHAnsi" w:hAnsiTheme="minorHAnsi"/>
          <w:color w:val="000000"/>
          <w:sz w:val="24"/>
          <w:szCs w:val="24"/>
        </w:rPr>
        <w:t>analysed using SPSS</w:t>
      </w:r>
      <w:r w:rsidR="00D3450F">
        <w:rPr>
          <w:rFonts w:asciiTheme="minorHAnsi" w:hAnsiTheme="minorHAnsi"/>
          <w:color w:val="000000"/>
          <w:sz w:val="24"/>
          <w:szCs w:val="24"/>
        </w:rPr>
        <w:t xml:space="preserve"> (</w:t>
      </w:r>
      <w:r w:rsidR="00283FD1" w:rsidRPr="00283FD1">
        <w:rPr>
          <w:rFonts w:asciiTheme="minorHAnsi" w:hAnsiTheme="minorHAnsi"/>
          <w:color w:val="000000"/>
          <w:sz w:val="24"/>
          <w:szCs w:val="24"/>
        </w:rPr>
        <w:t xml:space="preserve">IBM. </w:t>
      </w:r>
      <w:proofErr w:type="gramStart"/>
      <w:r w:rsidR="00283FD1" w:rsidRPr="00283FD1">
        <w:rPr>
          <w:rFonts w:asciiTheme="minorHAnsi" w:hAnsiTheme="minorHAnsi"/>
          <w:color w:val="000000"/>
          <w:sz w:val="24"/>
          <w:szCs w:val="24"/>
        </w:rPr>
        <w:t>SPSS statistics for Mac.</w:t>
      </w:r>
      <w:proofErr w:type="gramEnd"/>
      <w:r w:rsidR="00283FD1" w:rsidRPr="00283FD1">
        <w:rPr>
          <w:rFonts w:asciiTheme="minorHAnsi" w:hAnsiTheme="minorHAnsi"/>
          <w:color w:val="000000"/>
          <w:sz w:val="24"/>
          <w:szCs w:val="24"/>
        </w:rPr>
        <w:t xml:space="preserve"> Version 24.0. Armonk, NY: IBM; 2016</w:t>
      </w:r>
      <w:r w:rsidR="00283FD1">
        <w:rPr>
          <w:rFonts w:asciiTheme="minorHAnsi" w:hAnsiTheme="minorHAnsi"/>
          <w:color w:val="000000"/>
          <w:sz w:val="24"/>
          <w:szCs w:val="24"/>
        </w:rPr>
        <w:t xml:space="preserve">) and Tableau (Tableau version </w:t>
      </w:r>
      <w:r w:rsidR="00D3450F">
        <w:rPr>
          <w:rFonts w:asciiTheme="minorHAnsi" w:hAnsiTheme="minorHAnsi"/>
          <w:color w:val="000000"/>
          <w:sz w:val="24"/>
          <w:szCs w:val="24"/>
        </w:rPr>
        <w:t>10.3</w:t>
      </w:r>
      <w:r w:rsidR="00283FD1">
        <w:rPr>
          <w:rFonts w:asciiTheme="minorHAnsi" w:hAnsiTheme="minorHAnsi"/>
          <w:color w:val="000000"/>
          <w:sz w:val="24"/>
          <w:szCs w:val="24"/>
        </w:rPr>
        <w:t xml:space="preserve"> for Mac</w:t>
      </w:r>
      <w:r w:rsidR="00D3450F">
        <w:rPr>
          <w:rFonts w:asciiTheme="minorHAnsi" w:hAnsiTheme="minorHAnsi"/>
          <w:color w:val="000000"/>
          <w:sz w:val="24"/>
          <w:szCs w:val="24"/>
        </w:rPr>
        <w:t>, Tableau software</w:t>
      </w:r>
      <w:r w:rsidR="00283FD1">
        <w:rPr>
          <w:rFonts w:asciiTheme="minorHAnsi" w:hAnsiTheme="minorHAnsi"/>
          <w:color w:val="000000"/>
          <w:sz w:val="24"/>
          <w:szCs w:val="24"/>
        </w:rPr>
        <w:t>,</w:t>
      </w:r>
      <w:r w:rsidR="00D3450F">
        <w:rPr>
          <w:rFonts w:asciiTheme="minorHAnsi" w:hAnsiTheme="minorHAnsi"/>
          <w:color w:val="000000"/>
          <w:sz w:val="24"/>
          <w:szCs w:val="24"/>
        </w:rPr>
        <w:t xml:space="preserve"> 2017)</w:t>
      </w:r>
      <w:r w:rsidR="00A55218" w:rsidRPr="00E65F4F">
        <w:rPr>
          <w:rFonts w:asciiTheme="minorHAnsi" w:hAnsiTheme="minorHAnsi"/>
          <w:color w:val="000000"/>
          <w:sz w:val="24"/>
          <w:szCs w:val="24"/>
        </w:rPr>
        <w:t>.</w:t>
      </w:r>
      <w:r w:rsidR="00E81AD8">
        <w:rPr>
          <w:rFonts w:asciiTheme="minorHAnsi" w:hAnsiTheme="minorHAnsi"/>
          <w:color w:val="000000"/>
          <w:sz w:val="24"/>
          <w:szCs w:val="24"/>
        </w:rPr>
        <w:t xml:space="preserve"> Significance level was set at p&lt;0.05.</w:t>
      </w:r>
    </w:p>
    <w:p w14:paraId="283B1B03" w14:textId="7C2584E0" w:rsidR="003C29E0" w:rsidRDefault="00E81AD8">
      <w:r>
        <w:t>RESULTS</w:t>
      </w:r>
    </w:p>
    <w:p w14:paraId="7E87F915" w14:textId="77777777" w:rsidR="003C29E0" w:rsidRDefault="003C29E0"/>
    <w:p w14:paraId="416BA745" w14:textId="77777777" w:rsidR="00BB62AC" w:rsidRPr="00E65F4F" w:rsidRDefault="003C29E0">
      <w:r>
        <w:t xml:space="preserve">Two </w:t>
      </w:r>
      <w:r w:rsidR="00BB62AC" w:rsidRPr="00E65F4F">
        <w:t xml:space="preserve">hundred and </w:t>
      </w:r>
      <w:r w:rsidR="003D4729" w:rsidRPr="00E65F4F">
        <w:t>sixteen</w:t>
      </w:r>
      <w:r w:rsidR="00BB62AC" w:rsidRPr="00E65F4F">
        <w:t xml:space="preserve"> patients und</w:t>
      </w:r>
      <w:r w:rsidR="008C5E15" w:rsidRPr="00E65F4F">
        <w:t>e</w:t>
      </w:r>
      <w:r w:rsidR="00BB62AC" w:rsidRPr="00E65F4F">
        <w:t xml:space="preserve">rwent orthognathic surgery between May 2011 and May 2017. </w:t>
      </w:r>
      <w:r w:rsidR="003D4729" w:rsidRPr="00E65F4F">
        <w:t>One hundred and ninety nine</w:t>
      </w:r>
      <w:r w:rsidR="00BB62AC" w:rsidRPr="00E65F4F">
        <w:t xml:space="preserve"> </w:t>
      </w:r>
      <w:proofErr w:type="spellStart"/>
      <w:r w:rsidR="00BB62AC" w:rsidRPr="00E65F4F">
        <w:t>saggital</w:t>
      </w:r>
      <w:proofErr w:type="spellEnd"/>
      <w:r w:rsidR="00BB62AC" w:rsidRPr="00E65F4F">
        <w:t xml:space="preserve"> split o</w:t>
      </w:r>
      <w:r w:rsidR="003D4729" w:rsidRPr="00E65F4F">
        <w:t>steotomies were carried out, 174 le fort one osteotomies and 23</w:t>
      </w:r>
      <w:r w:rsidR="00BB62AC" w:rsidRPr="00E65F4F">
        <w:t xml:space="preserve"> </w:t>
      </w:r>
      <w:proofErr w:type="spellStart"/>
      <w:r w:rsidR="00BB62AC" w:rsidRPr="00E65F4F">
        <w:t>geniop</w:t>
      </w:r>
      <w:r w:rsidR="003D4729" w:rsidRPr="00E65F4F">
        <w:t>lasties</w:t>
      </w:r>
      <w:proofErr w:type="spellEnd"/>
      <w:r w:rsidR="003D4729" w:rsidRPr="00E65F4F">
        <w:t>. Sixty four percent (138</w:t>
      </w:r>
      <w:r w:rsidR="00BB62AC" w:rsidRPr="00E65F4F">
        <w:t xml:space="preserve"> cases) of these procedures were carried out on females and average age was 27 yea</w:t>
      </w:r>
      <w:r w:rsidR="003D4729" w:rsidRPr="00E65F4F">
        <w:t>rs (median 24, range 16-59, SD 8.9</w:t>
      </w:r>
      <w:r w:rsidR="00BB62AC" w:rsidRPr="00E65F4F">
        <w:t xml:space="preserve">). </w:t>
      </w:r>
    </w:p>
    <w:p w14:paraId="59FCD9A8" w14:textId="77777777" w:rsidR="001B13B9" w:rsidRPr="00E65F4F" w:rsidRDefault="001B13B9"/>
    <w:p w14:paraId="5436E8D5" w14:textId="7A9C9A8B" w:rsidR="00026A57" w:rsidRPr="00E65F4F" w:rsidRDefault="001B13B9">
      <w:r w:rsidRPr="00E65F4F">
        <w:t>Surgical planni</w:t>
      </w:r>
      <w:r w:rsidR="00026A57" w:rsidRPr="00E65F4F">
        <w:t>ng models were available for 202</w:t>
      </w:r>
      <w:r w:rsidRPr="00E65F4F">
        <w:t xml:space="preserve"> of the </w:t>
      </w:r>
      <w:r w:rsidR="00026A57" w:rsidRPr="00E65F4F">
        <w:t xml:space="preserve">216 patients (94%). Models were available for </w:t>
      </w:r>
      <w:r w:rsidRPr="00E65F4F">
        <w:t>85 mandibular advancements a</w:t>
      </w:r>
      <w:r w:rsidR="00026A57" w:rsidRPr="00E65F4F">
        <w:t xml:space="preserve">nd 81 mandibular setbacks. The mandibular advances ranged from +1 to +15mm (mean +6.77mm, SD 3.00mm), and setbacks from -1 to -10mm (mean -4.6mm, SD 2.01mm). </w:t>
      </w:r>
    </w:p>
    <w:p w14:paraId="598F154F" w14:textId="77777777" w:rsidR="00BB62AC" w:rsidRPr="00E65F4F" w:rsidRDefault="00BB62AC"/>
    <w:p w14:paraId="6131610C" w14:textId="274A1FAF" w:rsidR="00791BF8" w:rsidRDefault="00BB62AC">
      <w:r w:rsidRPr="00E65F4F">
        <w:t>Metal plates w</w:t>
      </w:r>
      <w:r w:rsidR="003D4729" w:rsidRPr="00E65F4F">
        <w:t>ere subsequently removed from 25 patients (1</w:t>
      </w:r>
      <w:r w:rsidRPr="00E65F4F">
        <w:t>1</w:t>
      </w:r>
      <w:r w:rsidR="003D4729" w:rsidRPr="00E65F4F">
        <w:t>.6%)</w:t>
      </w:r>
      <w:r w:rsidR="002D2362" w:rsidRPr="00E65F4F">
        <w:t xml:space="preserve">, including 11 </w:t>
      </w:r>
      <w:r w:rsidR="003C29E0">
        <w:t xml:space="preserve">mandibular </w:t>
      </w:r>
      <w:r w:rsidR="002D2362" w:rsidRPr="00E65F4F">
        <w:t xml:space="preserve">advancements, </w:t>
      </w:r>
      <w:r w:rsidR="003C29E0">
        <w:t xml:space="preserve">and </w:t>
      </w:r>
      <w:r w:rsidR="002D2362" w:rsidRPr="00E65F4F">
        <w:t>7 mandibular setbacks</w:t>
      </w:r>
      <w:r w:rsidR="003D4729" w:rsidRPr="00E65F4F">
        <w:t>.</w:t>
      </w:r>
      <w:r w:rsidR="008C5E15" w:rsidRPr="00E65F4F">
        <w:t xml:space="preserve"> Indications included pain, dehiscence</w:t>
      </w:r>
      <w:r w:rsidR="00E81AD8">
        <w:t>,</w:t>
      </w:r>
      <w:r w:rsidR="008C5E15" w:rsidRPr="00E65F4F">
        <w:t xml:space="preserve"> infection, </w:t>
      </w:r>
      <w:r w:rsidR="00E81AD8">
        <w:t xml:space="preserve">young patient, to allow subsequent implants or denture, </w:t>
      </w:r>
      <w:r w:rsidR="008C5E15" w:rsidRPr="00E65F4F">
        <w:t xml:space="preserve">or a combination of these. </w:t>
      </w:r>
    </w:p>
    <w:p w14:paraId="3E64F209" w14:textId="77777777" w:rsidR="003C29E0" w:rsidRDefault="003C29E0"/>
    <w:p w14:paraId="41A61398" w14:textId="0AD8A366" w:rsidR="003C29E0" w:rsidRDefault="00E81AD8">
      <w:r>
        <w:t>ANALYSIS</w:t>
      </w:r>
    </w:p>
    <w:p w14:paraId="1B4A7D45" w14:textId="77777777" w:rsidR="003C29E0" w:rsidRDefault="003C29E0"/>
    <w:p w14:paraId="69595D31" w14:textId="5EF9D216" w:rsidR="00C10FBA" w:rsidRDefault="003C29E0">
      <w:proofErr w:type="gramStart"/>
      <w:r>
        <w:t>Students</w:t>
      </w:r>
      <w:proofErr w:type="gramEnd"/>
      <w:r>
        <w:t xml:space="preserve"> t-test showed no correlation between size of mandibular advance and subse</w:t>
      </w:r>
      <w:r w:rsidR="00E56F77">
        <w:t>quent removal of plates (p=0.12</w:t>
      </w:r>
      <w:r>
        <w:t xml:space="preserve">, </w:t>
      </w:r>
      <w:r w:rsidR="00A151B8">
        <w:t>m</w:t>
      </w:r>
      <w:r w:rsidR="000E02C3">
        <w:t xml:space="preserve">ean difference 1.46, </w:t>
      </w:r>
      <w:r>
        <w:t>95% CI -0.45 to 3.37</w:t>
      </w:r>
      <w:r w:rsidR="000E02C3">
        <w:t>, n=85</w:t>
      </w:r>
      <w:r w:rsidR="00C10FBA">
        <w:t xml:space="preserve">). </w:t>
      </w:r>
      <w:r>
        <w:t xml:space="preserve">Mandibular advances were divided into those &gt;10mm and those less than 10mm, and cross tabulation carried out </w:t>
      </w:r>
      <w:r w:rsidR="00F94F2B">
        <w:t>to determine whether plate removal was more likely with large advances</w:t>
      </w:r>
      <w:r>
        <w:t xml:space="preserve">. </w:t>
      </w:r>
      <w:proofErr w:type="spellStart"/>
      <w:r>
        <w:t>Pearsons</w:t>
      </w:r>
      <w:proofErr w:type="spellEnd"/>
      <w:r>
        <w:t xml:space="preserve"> Chi square test showed </w:t>
      </w:r>
      <w:r w:rsidR="00E81AD8">
        <w:t>non-</w:t>
      </w:r>
      <w:r w:rsidR="00C10FBA">
        <w:t xml:space="preserve">significance with p=0.24 (OR 2.4, </w:t>
      </w:r>
      <w:r w:rsidR="00381C03">
        <w:t>CI 0.54- 10.60</w:t>
      </w:r>
      <w:r w:rsidR="000E02C3">
        <w:t>, n=85</w:t>
      </w:r>
      <w:r w:rsidR="00F94F2B">
        <w:t xml:space="preserve">). </w:t>
      </w:r>
    </w:p>
    <w:p w14:paraId="055A8E55" w14:textId="77777777" w:rsidR="00C10FBA" w:rsidRDefault="00C10FBA"/>
    <w:p w14:paraId="165D7EB3" w14:textId="42F469F1" w:rsidR="000E02C3" w:rsidRDefault="00C10FBA">
      <w:r>
        <w:t>Mandibular setbacks were also tested in the same way, with students t test showing no significant correlation between size of setback and subsequent removal of plates (p=0.56, mean difference 0.52, 95% CI -1.05 to 2.11, n=81) and when values were categorised into large and small setbacks (binned at 5mm), a chi square test showed non significance (p=0.48, OR 1.40, CI 0.294 to 6.7</w:t>
      </w:r>
      <w:r w:rsidR="002B2C85">
        <w:t>3, n=81).</w:t>
      </w:r>
    </w:p>
    <w:p w14:paraId="1BD246D0" w14:textId="77777777" w:rsidR="000E02C3" w:rsidRDefault="000E02C3"/>
    <w:p w14:paraId="6CF34C5D" w14:textId="12303EB2" w:rsidR="00F94F2B" w:rsidRDefault="00EC3738">
      <w:r>
        <w:t>Analysis was also carried out of age</w:t>
      </w:r>
      <w:r w:rsidR="002B2C85">
        <w:t xml:space="preserve">, </w:t>
      </w:r>
      <w:r w:rsidR="001D580B">
        <w:t>sex</w:t>
      </w:r>
      <w:r w:rsidR="003E0018">
        <w:t xml:space="preserve">, </w:t>
      </w:r>
      <w:r w:rsidR="002B2C85">
        <w:t xml:space="preserve">and duration of plate remaining in situ </w:t>
      </w:r>
      <w:r w:rsidR="003E0018">
        <w:t>using the entire cohort</w:t>
      </w:r>
      <w:r w:rsidR="001D580B">
        <w:t xml:space="preserve">. An independent samples </w:t>
      </w:r>
      <w:r>
        <w:t>t-test showed that there was a significant correlation between</w:t>
      </w:r>
      <w:r w:rsidR="009D4343">
        <w:t xml:space="preserve"> increased</w:t>
      </w:r>
      <w:r>
        <w:t xml:space="preserve"> age </w:t>
      </w:r>
      <w:r w:rsidR="009D4343">
        <w:t xml:space="preserve">at time of surgery </w:t>
      </w:r>
      <w:r>
        <w:t xml:space="preserve">and </w:t>
      </w:r>
      <w:r w:rsidR="000E02C3">
        <w:t>plate removal (</w:t>
      </w:r>
      <w:r w:rsidR="003E0018">
        <w:t>p=0.07, mean difference 5.84 95% CI 1.7 to 9.9, n=216</w:t>
      </w:r>
      <w:r w:rsidR="001D580B">
        <w:t xml:space="preserve">), and a Chi square test showed no significant difference </w:t>
      </w:r>
      <w:r w:rsidR="003E0018">
        <w:t>in the gender of groups (p=0.58, OR 1.00 CI 0.42 to 2.39 n=216</w:t>
      </w:r>
      <w:r w:rsidR="001D580B">
        <w:t>)</w:t>
      </w:r>
      <w:r w:rsidR="002B2C85">
        <w:t xml:space="preserve">. </w:t>
      </w:r>
    </w:p>
    <w:p w14:paraId="4CC56B78" w14:textId="77777777" w:rsidR="00A66052" w:rsidRDefault="00A66052"/>
    <w:p w14:paraId="4CB8B2C9" w14:textId="77777777" w:rsidR="00AC5A1B" w:rsidRDefault="00AC5A1B"/>
    <w:tbl>
      <w:tblPr>
        <w:tblStyle w:val="TableGrid"/>
        <w:tblW w:w="0" w:type="auto"/>
        <w:tblLook w:val="04A0" w:firstRow="1" w:lastRow="0" w:firstColumn="1" w:lastColumn="0" w:noHBand="0" w:noVBand="1"/>
      </w:tblPr>
      <w:tblGrid>
        <w:gridCol w:w="2123"/>
        <w:gridCol w:w="1364"/>
        <w:gridCol w:w="1769"/>
        <w:gridCol w:w="1622"/>
        <w:gridCol w:w="1638"/>
      </w:tblGrid>
      <w:tr w:rsidR="001D580B" w14:paraId="5A5953B0" w14:textId="77777777" w:rsidTr="001D580B">
        <w:tc>
          <w:tcPr>
            <w:tcW w:w="2123" w:type="dxa"/>
            <w:tcBorders>
              <w:top w:val="nil"/>
              <w:left w:val="nil"/>
              <w:bottom w:val="nil"/>
              <w:right w:val="nil"/>
            </w:tcBorders>
          </w:tcPr>
          <w:p w14:paraId="64AF9AD7" w14:textId="77777777" w:rsidR="001D580B" w:rsidRDefault="001D580B">
            <w:r>
              <w:t>Variable</w:t>
            </w:r>
          </w:p>
        </w:tc>
        <w:tc>
          <w:tcPr>
            <w:tcW w:w="1364" w:type="dxa"/>
            <w:tcBorders>
              <w:top w:val="nil"/>
              <w:left w:val="nil"/>
              <w:bottom w:val="nil"/>
              <w:right w:val="nil"/>
            </w:tcBorders>
          </w:tcPr>
          <w:p w14:paraId="3FD4116F" w14:textId="77777777" w:rsidR="001D580B" w:rsidRDefault="001D580B">
            <w:r>
              <w:t>n</w:t>
            </w:r>
          </w:p>
        </w:tc>
        <w:tc>
          <w:tcPr>
            <w:tcW w:w="1769" w:type="dxa"/>
            <w:tcBorders>
              <w:top w:val="nil"/>
              <w:left w:val="nil"/>
              <w:bottom w:val="single" w:sz="4" w:space="0" w:color="auto"/>
              <w:right w:val="nil"/>
            </w:tcBorders>
          </w:tcPr>
          <w:p w14:paraId="45AD954F" w14:textId="77777777" w:rsidR="001D580B" w:rsidRDefault="001D580B">
            <w:r>
              <w:t>Plate removed?</w:t>
            </w:r>
          </w:p>
        </w:tc>
        <w:tc>
          <w:tcPr>
            <w:tcW w:w="1622" w:type="dxa"/>
            <w:tcBorders>
              <w:top w:val="nil"/>
              <w:left w:val="nil"/>
              <w:bottom w:val="single" w:sz="4" w:space="0" w:color="auto"/>
              <w:right w:val="nil"/>
            </w:tcBorders>
          </w:tcPr>
          <w:p w14:paraId="2F45C434" w14:textId="77777777" w:rsidR="001D580B" w:rsidRDefault="001D580B"/>
        </w:tc>
        <w:tc>
          <w:tcPr>
            <w:tcW w:w="1638" w:type="dxa"/>
            <w:tcBorders>
              <w:top w:val="nil"/>
              <w:left w:val="nil"/>
              <w:bottom w:val="nil"/>
              <w:right w:val="nil"/>
            </w:tcBorders>
          </w:tcPr>
          <w:p w14:paraId="2284C3D4" w14:textId="77777777" w:rsidR="001D580B" w:rsidRDefault="001D580B">
            <w:r>
              <w:t>p value</w:t>
            </w:r>
          </w:p>
        </w:tc>
      </w:tr>
      <w:tr w:rsidR="001D580B" w14:paraId="30223433" w14:textId="77777777" w:rsidTr="002A2C9C">
        <w:trPr>
          <w:trHeight w:val="159"/>
        </w:trPr>
        <w:tc>
          <w:tcPr>
            <w:tcW w:w="2123" w:type="dxa"/>
            <w:tcBorders>
              <w:top w:val="nil"/>
              <w:left w:val="nil"/>
              <w:bottom w:val="single" w:sz="4" w:space="0" w:color="auto"/>
              <w:right w:val="nil"/>
            </w:tcBorders>
          </w:tcPr>
          <w:p w14:paraId="2FEC5F34" w14:textId="77777777" w:rsidR="001D580B" w:rsidRDefault="001D580B"/>
        </w:tc>
        <w:tc>
          <w:tcPr>
            <w:tcW w:w="1364" w:type="dxa"/>
            <w:tcBorders>
              <w:top w:val="nil"/>
              <w:left w:val="nil"/>
              <w:bottom w:val="single" w:sz="4" w:space="0" w:color="auto"/>
              <w:right w:val="nil"/>
            </w:tcBorders>
          </w:tcPr>
          <w:p w14:paraId="1A0D26AF" w14:textId="77777777" w:rsidR="001D580B" w:rsidRDefault="001D580B"/>
        </w:tc>
        <w:tc>
          <w:tcPr>
            <w:tcW w:w="1769" w:type="dxa"/>
            <w:tcBorders>
              <w:top w:val="single" w:sz="4" w:space="0" w:color="auto"/>
              <w:left w:val="nil"/>
              <w:bottom w:val="single" w:sz="4" w:space="0" w:color="auto"/>
              <w:right w:val="nil"/>
            </w:tcBorders>
          </w:tcPr>
          <w:p w14:paraId="0591C46B" w14:textId="77777777" w:rsidR="001D580B" w:rsidRDefault="001D580B">
            <w:r>
              <w:t>Yes</w:t>
            </w:r>
          </w:p>
        </w:tc>
        <w:tc>
          <w:tcPr>
            <w:tcW w:w="1622" w:type="dxa"/>
            <w:tcBorders>
              <w:top w:val="single" w:sz="4" w:space="0" w:color="auto"/>
              <w:left w:val="nil"/>
              <w:bottom w:val="single" w:sz="4" w:space="0" w:color="auto"/>
              <w:right w:val="nil"/>
            </w:tcBorders>
          </w:tcPr>
          <w:p w14:paraId="4429033B" w14:textId="77777777" w:rsidR="001D580B" w:rsidRDefault="001D580B">
            <w:r>
              <w:t>No</w:t>
            </w:r>
          </w:p>
        </w:tc>
        <w:tc>
          <w:tcPr>
            <w:tcW w:w="1638" w:type="dxa"/>
            <w:tcBorders>
              <w:top w:val="nil"/>
              <w:left w:val="nil"/>
              <w:bottom w:val="single" w:sz="4" w:space="0" w:color="auto"/>
              <w:right w:val="nil"/>
            </w:tcBorders>
          </w:tcPr>
          <w:p w14:paraId="746DB769" w14:textId="77777777" w:rsidR="001D580B" w:rsidRDefault="001D580B"/>
        </w:tc>
      </w:tr>
      <w:tr w:rsidR="001D580B" w14:paraId="705E7C5B" w14:textId="77777777" w:rsidTr="001D580B">
        <w:trPr>
          <w:trHeight w:val="428"/>
        </w:trPr>
        <w:tc>
          <w:tcPr>
            <w:tcW w:w="2123" w:type="dxa"/>
            <w:tcBorders>
              <w:left w:val="nil"/>
              <w:bottom w:val="nil"/>
              <w:right w:val="nil"/>
            </w:tcBorders>
          </w:tcPr>
          <w:p w14:paraId="2B396883" w14:textId="77777777" w:rsidR="001D580B" w:rsidRDefault="001D580B">
            <w:r>
              <w:t>Sex (female/male)</w:t>
            </w:r>
          </w:p>
        </w:tc>
        <w:tc>
          <w:tcPr>
            <w:tcW w:w="1364" w:type="dxa"/>
            <w:tcBorders>
              <w:left w:val="nil"/>
              <w:bottom w:val="nil"/>
              <w:right w:val="nil"/>
            </w:tcBorders>
          </w:tcPr>
          <w:p w14:paraId="546B3737" w14:textId="77777777" w:rsidR="001D580B" w:rsidRDefault="003E0018">
            <w:r>
              <w:t>216</w:t>
            </w:r>
          </w:p>
        </w:tc>
        <w:tc>
          <w:tcPr>
            <w:tcW w:w="1769" w:type="dxa"/>
            <w:tcBorders>
              <w:left w:val="nil"/>
              <w:bottom w:val="nil"/>
              <w:right w:val="nil"/>
            </w:tcBorders>
          </w:tcPr>
          <w:p w14:paraId="303219B7" w14:textId="77777777" w:rsidR="001D580B" w:rsidRDefault="003E0018">
            <w:r>
              <w:t>16/9</w:t>
            </w:r>
          </w:p>
        </w:tc>
        <w:tc>
          <w:tcPr>
            <w:tcW w:w="1622" w:type="dxa"/>
            <w:tcBorders>
              <w:left w:val="nil"/>
              <w:bottom w:val="nil"/>
              <w:right w:val="nil"/>
            </w:tcBorders>
          </w:tcPr>
          <w:p w14:paraId="0D114811" w14:textId="77777777" w:rsidR="001D580B" w:rsidRDefault="003E0018">
            <w:r>
              <w:t>69/122</w:t>
            </w:r>
          </w:p>
        </w:tc>
        <w:tc>
          <w:tcPr>
            <w:tcW w:w="1638" w:type="dxa"/>
            <w:tcBorders>
              <w:left w:val="nil"/>
              <w:bottom w:val="nil"/>
              <w:right w:val="nil"/>
            </w:tcBorders>
          </w:tcPr>
          <w:p w14:paraId="6B066BB2" w14:textId="77777777" w:rsidR="001D580B" w:rsidRDefault="003E0018">
            <w:r>
              <w:t>0.58</w:t>
            </w:r>
            <w:r w:rsidR="001D580B" w:rsidRPr="00EC2B34">
              <w:rPr>
                <w:vertAlign w:val="superscript"/>
              </w:rPr>
              <w:t>(a)</w:t>
            </w:r>
          </w:p>
        </w:tc>
      </w:tr>
      <w:tr w:rsidR="001D580B" w14:paraId="59356FCF" w14:textId="77777777" w:rsidTr="001D580B">
        <w:tc>
          <w:tcPr>
            <w:tcW w:w="2123" w:type="dxa"/>
            <w:tcBorders>
              <w:top w:val="nil"/>
              <w:left w:val="nil"/>
              <w:bottom w:val="nil"/>
              <w:right w:val="nil"/>
            </w:tcBorders>
          </w:tcPr>
          <w:p w14:paraId="73D59017" w14:textId="77777777" w:rsidR="001D580B" w:rsidRDefault="001D580B">
            <w:r>
              <w:t>Age (years) (mean, SD)</w:t>
            </w:r>
          </w:p>
          <w:p w14:paraId="6305A4E2" w14:textId="77777777" w:rsidR="001D580B" w:rsidRDefault="001D580B"/>
        </w:tc>
        <w:tc>
          <w:tcPr>
            <w:tcW w:w="1364" w:type="dxa"/>
            <w:tcBorders>
              <w:top w:val="nil"/>
              <w:left w:val="nil"/>
              <w:bottom w:val="nil"/>
              <w:right w:val="nil"/>
            </w:tcBorders>
          </w:tcPr>
          <w:p w14:paraId="6A936CE8" w14:textId="77777777" w:rsidR="001D580B" w:rsidRDefault="00E04C27">
            <w:r>
              <w:t>21</w:t>
            </w:r>
            <w:r w:rsidR="003E0018">
              <w:t>6</w:t>
            </w:r>
          </w:p>
        </w:tc>
        <w:tc>
          <w:tcPr>
            <w:tcW w:w="1769" w:type="dxa"/>
            <w:tcBorders>
              <w:top w:val="nil"/>
              <w:left w:val="nil"/>
              <w:bottom w:val="nil"/>
              <w:right w:val="nil"/>
            </w:tcBorders>
          </w:tcPr>
          <w:p w14:paraId="34C5F552" w14:textId="77777777" w:rsidR="001D580B" w:rsidRDefault="003E0018">
            <w:r>
              <w:t>32.92 (+/- 9.58</w:t>
            </w:r>
            <w:r w:rsidR="001D580B">
              <w:t>)</w:t>
            </w:r>
          </w:p>
        </w:tc>
        <w:tc>
          <w:tcPr>
            <w:tcW w:w="1622" w:type="dxa"/>
            <w:tcBorders>
              <w:top w:val="nil"/>
              <w:left w:val="nil"/>
              <w:bottom w:val="nil"/>
              <w:right w:val="nil"/>
            </w:tcBorders>
          </w:tcPr>
          <w:p w14:paraId="296119FD" w14:textId="77777777" w:rsidR="001D580B" w:rsidRDefault="003E0018">
            <w:r>
              <w:t>27.08 (+/- 8.62</w:t>
            </w:r>
            <w:r w:rsidR="001D580B">
              <w:t>)</w:t>
            </w:r>
          </w:p>
        </w:tc>
        <w:tc>
          <w:tcPr>
            <w:tcW w:w="1638" w:type="dxa"/>
            <w:tcBorders>
              <w:top w:val="nil"/>
              <w:left w:val="nil"/>
              <w:bottom w:val="nil"/>
              <w:right w:val="nil"/>
            </w:tcBorders>
          </w:tcPr>
          <w:p w14:paraId="0D2ED887" w14:textId="77777777" w:rsidR="001D580B" w:rsidRDefault="003E0018">
            <w:r w:rsidRPr="003E0018">
              <w:rPr>
                <w:u w:val="single"/>
              </w:rPr>
              <w:t>0.07</w:t>
            </w:r>
            <w:r w:rsidR="001D580B">
              <w:t>(</w:t>
            </w:r>
            <w:r w:rsidR="001D580B" w:rsidRPr="00EC2B34">
              <w:rPr>
                <w:vertAlign w:val="superscript"/>
              </w:rPr>
              <w:t>b)</w:t>
            </w:r>
          </w:p>
        </w:tc>
      </w:tr>
      <w:tr w:rsidR="001D580B" w14:paraId="17AD3B27" w14:textId="77777777" w:rsidTr="001D580B">
        <w:tc>
          <w:tcPr>
            <w:tcW w:w="2123" w:type="dxa"/>
            <w:tcBorders>
              <w:top w:val="nil"/>
              <w:left w:val="nil"/>
              <w:bottom w:val="nil"/>
              <w:right w:val="nil"/>
            </w:tcBorders>
          </w:tcPr>
          <w:p w14:paraId="720F3DF3" w14:textId="77777777" w:rsidR="001D580B" w:rsidRDefault="001D580B">
            <w:r>
              <w:t>Size of mandibular advancement (mm)(mean, SD)</w:t>
            </w:r>
          </w:p>
          <w:p w14:paraId="4DC886BE" w14:textId="77777777" w:rsidR="001D580B" w:rsidRDefault="001D580B"/>
        </w:tc>
        <w:tc>
          <w:tcPr>
            <w:tcW w:w="1364" w:type="dxa"/>
            <w:tcBorders>
              <w:top w:val="nil"/>
              <w:left w:val="nil"/>
              <w:bottom w:val="nil"/>
              <w:right w:val="nil"/>
            </w:tcBorders>
          </w:tcPr>
          <w:p w14:paraId="20E5FD6B" w14:textId="77777777" w:rsidR="001D580B" w:rsidRDefault="001D580B">
            <w:r>
              <w:t>85</w:t>
            </w:r>
          </w:p>
        </w:tc>
        <w:tc>
          <w:tcPr>
            <w:tcW w:w="1769" w:type="dxa"/>
            <w:tcBorders>
              <w:top w:val="nil"/>
              <w:left w:val="nil"/>
              <w:bottom w:val="nil"/>
              <w:right w:val="nil"/>
            </w:tcBorders>
          </w:tcPr>
          <w:p w14:paraId="3237B5E8" w14:textId="77777777" w:rsidR="001D580B" w:rsidRDefault="001D580B">
            <w:r>
              <w:t>8.1 (+/- 2.73)</w:t>
            </w:r>
          </w:p>
        </w:tc>
        <w:tc>
          <w:tcPr>
            <w:tcW w:w="1622" w:type="dxa"/>
            <w:tcBorders>
              <w:top w:val="nil"/>
              <w:left w:val="nil"/>
              <w:bottom w:val="nil"/>
              <w:right w:val="nil"/>
            </w:tcBorders>
          </w:tcPr>
          <w:p w14:paraId="1E4A5C6D" w14:textId="77777777" w:rsidR="001D580B" w:rsidRDefault="001D580B">
            <w:r>
              <w:t>6.6 (+/- 3)</w:t>
            </w:r>
          </w:p>
        </w:tc>
        <w:tc>
          <w:tcPr>
            <w:tcW w:w="1638" w:type="dxa"/>
            <w:tcBorders>
              <w:top w:val="nil"/>
              <w:left w:val="nil"/>
              <w:bottom w:val="nil"/>
              <w:right w:val="nil"/>
            </w:tcBorders>
          </w:tcPr>
          <w:p w14:paraId="25C87E97" w14:textId="77777777" w:rsidR="001D580B" w:rsidRDefault="001D580B">
            <w:r>
              <w:t>0.12</w:t>
            </w:r>
            <w:r w:rsidRPr="00EC2B34">
              <w:rPr>
                <w:vertAlign w:val="superscript"/>
              </w:rPr>
              <w:t>(b)</w:t>
            </w:r>
          </w:p>
        </w:tc>
      </w:tr>
      <w:tr w:rsidR="001D580B" w14:paraId="71364510" w14:textId="77777777" w:rsidTr="001D580B">
        <w:tc>
          <w:tcPr>
            <w:tcW w:w="2123" w:type="dxa"/>
            <w:tcBorders>
              <w:top w:val="nil"/>
              <w:left w:val="nil"/>
              <w:bottom w:val="nil"/>
              <w:right w:val="nil"/>
            </w:tcBorders>
          </w:tcPr>
          <w:p w14:paraId="6BC307E7" w14:textId="77777777" w:rsidR="001D580B" w:rsidRDefault="001D580B">
            <w:r>
              <w:t>Mandib</w:t>
            </w:r>
            <w:r w:rsidR="00A151B8">
              <w:t>ular advancement  categorised (&lt;10mm/&gt;</w:t>
            </w:r>
            <w:r>
              <w:t>10mm)</w:t>
            </w:r>
          </w:p>
          <w:p w14:paraId="341326B9" w14:textId="77777777" w:rsidR="001D580B" w:rsidRDefault="001D580B"/>
        </w:tc>
        <w:tc>
          <w:tcPr>
            <w:tcW w:w="1364" w:type="dxa"/>
            <w:tcBorders>
              <w:top w:val="nil"/>
              <w:left w:val="nil"/>
              <w:bottom w:val="nil"/>
              <w:right w:val="nil"/>
            </w:tcBorders>
          </w:tcPr>
          <w:p w14:paraId="5DC16025" w14:textId="77777777" w:rsidR="001D580B" w:rsidRDefault="001D580B">
            <w:r>
              <w:t>85</w:t>
            </w:r>
          </w:p>
        </w:tc>
        <w:tc>
          <w:tcPr>
            <w:tcW w:w="1769" w:type="dxa"/>
            <w:tcBorders>
              <w:top w:val="nil"/>
              <w:left w:val="nil"/>
              <w:bottom w:val="nil"/>
              <w:right w:val="nil"/>
            </w:tcBorders>
          </w:tcPr>
          <w:p w14:paraId="5E925C95" w14:textId="77777777" w:rsidR="001D580B" w:rsidRDefault="00381C03">
            <w:r>
              <w:t>8</w:t>
            </w:r>
            <w:r w:rsidR="00A151B8">
              <w:t>/</w:t>
            </w:r>
            <w:r>
              <w:t>3</w:t>
            </w:r>
          </w:p>
        </w:tc>
        <w:tc>
          <w:tcPr>
            <w:tcW w:w="1622" w:type="dxa"/>
            <w:tcBorders>
              <w:top w:val="nil"/>
              <w:left w:val="nil"/>
              <w:bottom w:val="nil"/>
              <w:right w:val="nil"/>
            </w:tcBorders>
          </w:tcPr>
          <w:p w14:paraId="2FF6A49C" w14:textId="77777777" w:rsidR="001D580B" w:rsidRDefault="00381C03">
            <w:r>
              <w:t>64</w:t>
            </w:r>
            <w:r w:rsidR="00A151B8">
              <w:t>/</w:t>
            </w:r>
            <w:r>
              <w:t>10</w:t>
            </w:r>
          </w:p>
        </w:tc>
        <w:tc>
          <w:tcPr>
            <w:tcW w:w="1638" w:type="dxa"/>
            <w:tcBorders>
              <w:top w:val="nil"/>
              <w:left w:val="nil"/>
              <w:bottom w:val="nil"/>
              <w:right w:val="nil"/>
            </w:tcBorders>
          </w:tcPr>
          <w:p w14:paraId="2415BE67" w14:textId="77777777" w:rsidR="001D580B" w:rsidRDefault="00381C03">
            <w:r>
              <w:t>0.24</w:t>
            </w:r>
            <w:r w:rsidR="001D580B" w:rsidRPr="00EC2B34">
              <w:rPr>
                <w:vertAlign w:val="superscript"/>
              </w:rPr>
              <w:t>(a)</w:t>
            </w:r>
          </w:p>
        </w:tc>
      </w:tr>
      <w:tr w:rsidR="00627FA4" w14:paraId="44E8C27C" w14:textId="77777777" w:rsidTr="001D580B">
        <w:tc>
          <w:tcPr>
            <w:tcW w:w="2123" w:type="dxa"/>
            <w:tcBorders>
              <w:top w:val="nil"/>
              <w:left w:val="nil"/>
              <w:bottom w:val="nil"/>
              <w:right w:val="nil"/>
            </w:tcBorders>
          </w:tcPr>
          <w:p w14:paraId="57B653DE" w14:textId="77777777" w:rsidR="00627FA4" w:rsidRDefault="00627FA4">
            <w:r>
              <w:t>Size of mandibular setback (mm)(mean, SD)</w:t>
            </w:r>
          </w:p>
          <w:p w14:paraId="33AD3DC2" w14:textId="3079E464" w:rsidR="00627FA4" w:rsidRDefault="00627FA4"/>
        </w:tc>
        <w:tc>
          <w:tcPr>
            <w:tcW w:w="1364" w:type="dxa"/>
            <w:tcBorders>
              <w:top w:val="nil"/>
              <w:left w:val="nil"/>
              <w:bottom w:val="nil"/>
              <w:right w:val="nil"/>
            </w:tcBorders>
          </w:tcPr>
          <w:p w14:paraId="182711CC" w14:textId="08BC4AE3" w:rsidR="00627FA4" w:rsidRDefault="00627FA4">
            <w:r>
              <w:t>81</w:t>
            </w:r>
          </w:p>
        </w:tc>
        <w:tc>
          <w:tcPr>
            <w:tcW w:w="1769" w:type="dxa"/>
            <w:tcBorders>
              <w:top w:val="nil"/>
              <w:left w:val="nil"/>
              <w:bottom w:val="nil"/>
              <w:right w:val="nil"/>
            </w:tcBorders>
          </w:tcPr>
          <w:p w14:paraId="2DE27C2D" w14:textId="27A1CDA4" w:rsidR="00627FA4" w:rsidRDefault="00627FA4">
            <w:r>
              <w:t>5.1 (+/- 2.19)</w:t>
            </w:r>
          </w:p>
        </w:tc>
        <w:tc>
          <w:tcPr>
            <w:tcW w:w="1622" w:type="dxa"/>
            <w:tcBorders>
              <w:top w:val="nil"/>
              <w:left w:val="nil"/>
              <w:bottom w:val="nil"/>
              <w:right w:val="nil"/>
            </w:tcBorders>
          </w:tcPr>
          <w:p w14:paraId="64C2A59C" w14:textId="52726C93" w:rsidR="00627FA4" w:rsidRDefault="00627FA4">
            <w:r>
              <w:t>4.6 (+/- 2.0)</w:t>
            </w:r>
          </w:p>
        </w:tc>
        <w:tc>
          <w:tcPr>
            <w:tcW w:w="1638" w:type="dxa"/>
            <w:tcBorders>
              <w:top w:val="nil"/>
              <w:left w:val="nil"/>
              <w:bottom w:val="nil"/>
              <w:right w:val="nil"/>
            </w:tcBorders>
          </w:tcPr>
          <w:p w14:paraId="1A5834A8" w14:textId="0ABC1620" w:rsidR="00627FA4" w:rsidRDefault="00627FA4">
            <w:r>
              <w:t>0.56</w:t>
            </w:r>
            <w:r w:rsidRPr="00627FA4">
              <w:rPr>
                <w:vertAlign w:val="superscript"/>
              </w:rPr>
              <w:t>(b)</w:t>
            </w:r>
          </w:p>
        </w:tc>
      </w:tr>
      <w:tr w:rsidR="00627FA4" w14:paraId="4DFEAAC8" w14:textId="77777777" w:rsidTr="001D580B">
        <w:tc>
          <w:tcPr>
            <w:tcW w:w="2123" w:type="dxa"/>
            <w:tcBorders>
              <w:top w:val="nil"/>
              <w:left w:val="nil"/>
              <w:bottom w:val="nil"/>
              <w:right w:val="nil"/>
            </w:tcBorders>
          </w:tcPr>
          <w:p w14:paraId="4F3BA5E5" w14:textId="3E582CAA" w:rsidR="00627FA4" w:rsidRDefault="00627FA4">
            <w:r>
              <w:t>Mandibular setback categorised (&lt;5mm/&gt;5mm)</w:t>
            </w:r>
          </w:p>
          <w:p w14:paraId="24863244" w14:textId="77777777" w:rsidR="00627FA4" w:rsidRDefault="00627FA4"/>
        </w:tc>
        <w:tc>
          <w:tcPr>
            <w:tcW w:w="1364" w:type="dxa"/>
            <w:tcBorders>
              <w:top w:val="nil"/>
              <w:left w:val="nil"/>
              <w:bottom w:val="nil"/>
              <w:right w:val="nil"/>
            </w:tcBorders>
          </w:tcPr>
          <w:p w14:paraId="4B4329E7" w14:textId="3A9194C5" w:rsidR="00627FA4" w:rsidRDefault="00627FA4">
            <w:r>
              <w:t>81</w:t>
            </w:r>
          </w:p>
        </w:tc>
        <w:tc>
          <w:tcPr>
            <w:tcW w:w="1769" w:type="dxa"/>
            <w:tcBorders>
              <w:top w:val="nil"/>
              <w:left w:val="nil"/>
              <w:bottom w:val="nil"/>
              <w:right w:val="nil"/>
            </w:tcBorders>
          </w:tcPr>
          <w:p w14:paraId="6AAB5C88" w14:textId="6CA9917B" w:rsidR="00627FA4" w:rsidRDefault="00627FA4">
            <w:r>
              <w:t>3/4</w:t>
            </w:r>
          </w:p>
        </w:tc>
        <w:tc>
          <w:tcPr>
            <w:tcW w:w="1622" w:type="dxa"/>
            <w:tcBorders>
              <w:top w:val="nil"/>
              <w:left w:val="nil"/>
              <w:bottom w:val="nil"/>
              <w:right w:val="nil"/>
            </w:tcBorders>
          </w:tcPr>
          <w:p w14:paraId="4B09B089" w14:textId="403EFCF1" w:rsidR="00627FA4" w:rsidRDefault="00627FA4">
            <w:r>
              <w:t>38/36</w:t>
            </w:r>
          </w:p>
        </w:tc>
        <w:tc>
          <w:tcPr>
            <w:tcW w:w="1638" w:type="dxa"/>
            <w:tcBorders>
              <w:top w:val="nil"/>
              <w:left w:val="nil"/>
              <w:bottom w:val="nil"/>
              <w:right w:val="nil"/>
            </w:tcBorders>
          </w:tcPr>
          <w:p w14:paraId="4DC65D86" w14:textId="4B7A7AB3" w:rsidR="00627FA4" w:rsidRDefault="00627FA4">
            <w:r>
              <w:t>0.48</w:t>
            </w:r>
            <w:r w:rsidRPr="00627FA4">
              <w:rPr>
                <w:vertAlign w:val="superscript"/>
              </w:rPr>
              <w:t>(a)</w:t>
            </w:r>
          </w:p>
        </w:tc>
      </w:tr>
      <w:tr w:rsidR="001D580B" w14:paraId="4A0BFF6C" w14:textId="77777777" w:rsidTr="001D580B">
        <w:tc>
          <w:tcPr>
            <w:tcW w:w="2123" w:type="dxa"/>
            <w:tcBorders>
              <w:top w:val="nil"/>
              <w:left w:val="nil"/>
              <w:bottom w:val="nil"/>
              <w:right w:val="nil"/>
            </w:tcBorders>
          </w:tcPr>
          <w:p w14:paraId="4A047A3D" w14:textId="77777777" w:rsidR="001D580B" w:rsidRDefault="001D580B">
            <w:r>
              <w:t>Duration of plate in situ at end of study (days, SD)</w:t>
            </w:r>
          </w:p>
        </w:tc>
        <w:tc>
          <w:tcPr>
            <w:tcW w:w="1364" w:type="dxa"/>
            <w:tcBorders>
              <w:top w:val="nil"/>
              <w:left w:val="nil"/>
              <w:bottom w:val="nil"/>
              <w:right w:val="nil"/>
            </w:tcBorders>
          </w:tcPr>
          <w:p w14:paraId="28D240B7" w14:textId="19E6B771" w:rsidR="001D580B" w:rsidRDefault="00C10FBA">
            <w:r>
              <w:t>216</w:t>
            </w:r>
          </w:p>
        </w:tc>
        <w:tc>
          <w:tcPr>
            <w:tcW w:w="1769" w:type="dxa"/>
            <w:tcBorders>
              <w:top w:val="nil"/>
              <w:left w:val="nil"/>
              <w:bottom w:val="nil"/>
              <w:right w:val="nil"/>
            </w:tcBorders>
          </w:tcPr>
          <w:p w14:paraId="25097C0E" w14:textId="2D8936E2" w:rsidR="001D580B" w:rsidRDefault="00C10FBA">
            <w:r>
              <w:t>454 (+/- 384</w:t>
            </w:r>
            <w:r w:rsidR="001D580B">
              <w:t>)</w:t>
            </w:r>
          </w:p>
        </w:tc>
        <w:tc>
          <w:tcPr>
            <w:tcW w:w="1622" w:type="dxa"/>
            <w:tcBorders>
              <w:top w:val="nil"/>
              <w:left w:val="nil"/>
              <w:bottom w:val="nil"/>
              <w:right w:val="nil"/>
            </w:tcBorders>
          </w:tcPr>
          <w:p w14:paraId="77E8FB2D" w14:textId="4310F7BD" w:rsidR="001D580B" w:rsidRDefault="00C10FBA">
            <w:r>
              <w:t>1026 (+/-599</w:t>
            </w:r>
            <w:r w:rsidR="001D580B">
              <w:t>)</w:t>
            </w:r>
          </w:p>
        </w:tc>
        <w:tc>
          <w:tcPr>
            <w:tcW w:w="1638" w:type="dxa"/>
            <w:tcBorders>
              <w:top w:val="nil"/>
              <w:left w:val="nil"/>
              <w:bottom w:val="nil"/>
              <w:right w:val="nil"/>
            </w:tcBorders>
          </w:tcPr>
          <w:p w14:paraId="3FF8E23C" w14:textId="77777777" w:rsidR="001D580B" w:rsidRDefault="001D580B">
            <w:r>
              <w:t>0.00</w:t>
            </w:r>
            <w:r w:rsidRPr="00EC2B34">
              <w:rPr>
                <w:vertAlign w:val="superscript"/>
              </w:rPr>
              <w:t>(b)</w:t>
            </w:r>
          </w:p>
        </w:tc>
      </w:tr>
    </w:tbl>
    <w:p w14:paraId="4952B417" w14:textId="77777777" w:rsidR="00BC3B3D" w:rsidRDefault="00BC3B3D"/>
    <w:p w14:paraId="04D3B8BE" w14:textId="77777777" w:rsidR="00BC3B3D" w:rsidRDefault="00BC3B3D">
      <w:r>
        <w:t xml:space="preserve">Table 1. </w:t>
      </w:r>
      <w:proofErr w:type="gramStart"/>
      <w:r w:rsidR="00EC2B34">
        <w:t>Characteristics of patients und</w:t>
      </w:r>
      <w:r w:rsidR="00A151B8">
        <w:t xml:space="preserve">ergoing </w:t>
      </w:r>
      <w:proofErr w:type="spellStart"/>
      <w:r w:rsidR="003E0018">
        <w:t>orthognathic</w:t>
      </w:r>
      <w:proofErr w:type="spellEnd"/>
      <w:r w:rsidR="003E0018">
        <w:t xml:space="preserve"> surgery</w:t>
      </w:r>
      <w:r w:rsidR="00A151B8">
        <w:t>.</w:t>
      </w:r>
      <w:proofErr w:type="gramEnd"/>
      <w:r w:rsidR="00A151B8">
        <w:t xml:space="preserve"> </w:t>
      </w:r>
      <w:r w:rsidR="00EC2B34">
        <w:t>Where (a) is Chi square test and (b) is independent samples t-test.</w:t>
      </w:r>
    </w:p>
    <w:p w14:paraId="4962F118" w14:textId="77777777" w:rsidR="00030919" w:rsidRDefault="00030919"/>
    <w:p w14:paraId="73C7F5AA" w14:textId="77777777" w:rsidR="00030919" w:rsidRDefault="00030919"/>
    <w:p w14:paraId="592873B1" w14:textId="77777777" w:rsidR="00C400C4" w:rsidRPr="00291E7C" w:rsidRDefault="00C400C4"/>
    <w:tbl>
      <w:tblPr>
        <w:tblStyle w:val="TableGrid"/>
        <w:tblW w:w="8897" w:type="dxa"/>
        <w:tblLayout w:type="fixed"/>
        <w:tblLook w:val="04A0" w:firstRow="1" w:lastRow="0" w:firstColumn="1" w:lastColumn="0" w:noHBand="0" w:noVBand="1"/>
      </w:tblPr>
      <w:tblGrid>
        <w:gridCol w:w="1270"/>
        <w:gridCol w:w="1315"/>
        <w:gridCol w:w="1918"/>
        <w:gridCol w:w="1417"/>
        <w:gridCol w:w="1276"/>
        <w:gridCol w:w="1701"/>
      </w:tblGrid>
      <w:tr w:rsidR="0064257B" w:rsidRPr="00291E7C" w14:paraId="1EFB274C" w14:textId="77777777" w:rsidTr="0064257B">
        <w:trPr>
          <w:trHeight w:val="882"/>
        </w:trPr>
        <w:tc>
          <w:tcPr>
            <w:tcW w:w="1270" w:type="dxa"/>
          </w:tcPr>
          <w:p w14:paraId="7FEB2DBB" w14:textId="77777777" w:rsidR="00B43A0E" w:rsidRPr="00291E7C" w:rsidRDefault="00B43A0E">
            <w:r w:rsidRPr="00291E7C">
              <w:t>Sex</w:t>
            </w:r>
          </w:p>
        </w:tc>
        <w:tc>
          <w:tcPr>
            <w:tcW w:w="1315" w:type="dxa"/>
          </w:tcPr>
          <w:p w14:paraId="7C46565E" w14:textId="77777777" w:rsidR="00B43A0E" w:rsidRPr="00291E7C" w:rsidRDefault="00B43A0E">
            <w:r w:rsidRPr="00291E7C">
              <w:t>Age at time of surgery (years)</w:t>
            </w:r>
          </w:p>
        </w:tc>
        <w:tc>
          <w:tcPr>
            <w:tcW w:w="1918" w:type="dxa"/>
          </w:tcPr>
          <w:p w14:paraId="316C42AB" w14:textId="77777777" w:rsidR="00B43A0E" w:rsidRPr="00291E7C" w:rsidRDefault="00B43A0E">
            <w:r w:rsidRPr="00291E7C">
              <w:t>Indication for plate removal</w:t>
            </w:r>
          </w:p>
        </w:tc>
        <w:tc>
          <w:tcPr>
            <w:tcW w:w="1417" w:type="dxa"/>
          </w:tcPr>
          <w:p w14:paraId="214670F7" w14:textId="77777777" w:rsidR="00B43A0E" w:rsidRPr="00291E7C" w:rsidRDefault="00B43A0E">
            <w:r w:rsidRPr="00291E7C">
              <w:t xml:space="preserve">Position of removed </w:t>
            </w:r>
            <w:r w:rsidR="00381C03" w:rsidRPr="00291E7C">
              <w:t xml:space="preserve">mandibular </w:t>
            </w:r>
            <w:r w:rsidRPr="00291E7C">
              <w:t>plate</w:t>
            </w:r>
          </w:p>
        </w:tc>
        <w:tc>
          <w:tcPr>
            <w:tcW w:w="1276" w:type="dxa"/>
          </w:tcPr>
          <w:p w14:paraId="26687B37" w14:textId="77777777" w:rsidR="00B43A0E" w:rsidRPr="00291E7C" w:rsidRDefault="00B43A0E">
            <w:r w:rsidRPr="00291E7C">
              <w:t>Duration of plate in situ (days)</w:t>
            </w:r>
          </w:p>
        </w:tc>
        <w:tc>
          <w:tcPr>
            <w:tcW w:w="1701" w:type="dxa"/>
          </w:tcPr>
          <w:p w14:paraId="114BAB66" w14:textId="77777777" w:rsidR="00B43A0E" w:rsidRPr="00291E7C" w:rsidRDefault="00B43A0E">
            <w:r w:rsidRPr="00291E7C">
              <w:t>Size of mandibular advancement</w:t>
            </w:r>
            <w:r w:rsidR="00381C03" w:rsidRPr="00291E7C">
              <w:t xml:space="preserve"> (mm)</w:t>
            </w:r>
          </w:p>
        </w:tc>
      </w:tr>
      <w:tr w:rsidR="0064257B" w:rsidRPr="00291E7C" w14:paraId="76A8545B" w14:textId="77777777" w:rsidTr="0064257B">
        <w:tc>
          <w:tcPr>
            <w:tcW w:w="1270" w:type="dxa"/>
            <w:vAlign w:val="bottom"/>
          </w:tcPr>
          <w:p w14:paraId="241F4DC7" w14:textId="77777777" w:rsidR="00B43A0E" w:rsidRPr="00291E7C" w:rsidRDefault="00B43A0E">
            <w:r w:rsidRPr="00291E7C">
              <w:rPr>
                <w:rFonts w:eastAsia="Times New Roman" w:cs="Times New Roman"/>
                <w:color w:val="000000"/>
              </w:rPr>
              <w:t>Female</w:t>
            </w:r>
          </w:p>
        </w:tc>
        <w:tc>
          <w:tcPr>
            <w:tcW w:w="1315" w:type="dxa"/>
          </w:tcPr>
          <w:p w14:paraId="5FF7837D" w14:textId="77777777" w:rsidR="00B43A0E" w:rsidRPr="00291E7C" w:rsidRDefault="00B43A0E">
            <w:r w:rsidRPr="00291E7C">
              <w:rPr>
                <w:rFonts w:eastAsia="Times New Roman" w:cs="Arial"/>
                <w:color w:val="000000"/>
              </w:rPr>
              <w:t>49.1</w:t>
            </w:r>
          </w:p>
        </w:tc>
        <w:tc>
          <w:tcPr>
            <w:tcW w:w="1918" w:type="dxa"/>
          </w:tcPr>
          <w:p w14:paraId="357C3517" w14:textId="77777777" w:rsidR="00B43A0E" w:rsidRPr="00291E7C" w:rsidRDefault="00B43A0E">
            <w:r w:rsidRPr="00291E7C">
              <w:t>Pain</w:t>
            </w:r>
          </w:p>
        </w:tc>
        <w:tc>
          <w:tcPr>
            <w:tcW w:w="1417" w:type="dxa"/>
          </w:tcPr>
          <w:p w14:paraId="790D95A9" w14:textId="77777777" w:rsidR="00B43A0E" w:rsidRPr="00291E7C" w:rsidRDefault="00B43A0E">
            <w:pPr>
              <w:rPr>
                <w:rFonts w:eastAsia="Times New Roman" w:cs="Times New Roman"/>
                <w:color w:val="000000"/>
              </w:rPr>
            </w:pPr>
            <w:r w:rsidRPr="00291E7C">
              <w:rPr>
                <w:rFonts w:eastAsia="Times New Roman" w:cs="Times New Roman"/>
                <w:color w:val="000000"/>
              </w:rPr>
              <w:t>n/a</w:t>
            </w:r>
          </w:p>
        </w:tc>
        <w:tc>
          <w:tcPr>
            <w:tcW w:w="1276" w:type="dxa"/>
            <w:vAlign w:val="bottom"/>
          </w:tcPr>
          <w:p w14:paraId="19335A3A" w14:textId="77777777" w:rsidR="00B43A0E" w:rsidRPr="00291E7C" w:rsidRDefault="00B43A0E">
            <w:r w:rsidRPr="00291E7C">
              <w:rPr>
                <w:rFonts w:eastAsia="Times New Roman" w:cs="Times New Roman"/>
                <w:color w:val="000000"/>
              </w:rPr>
              <w:t>211</w:t>
            </w:r>
          </w:p>
        </w:tc>
        <w:tc>
          <w:tcPr>
            <w:tcW w:w="1701" w:type="dxa"/>
            <w:vAlign w:val="bottom"/>
          </w:tcPr>
          <w:p w14:paraId="621910DA" w14:textId="77777777" w:rsidR="00B43A0E" w:rsidRPr="00291E7C" w:rsidRDefault="00B43A0E">
            <w:r w:rsidRPr="00291E7C">
              <w:rPr>
                <w:rFonts w:eastAsia="Times New Roman" w:cs="Times New Roman"/>
                <w:color w:val="000000"/>
              </w:rPr>
              <w:t>5</w:t>
            </w:r>
          </w:p>
        </w:tc>
      </w:tr>
      <w:tr w:rsidR="0064257B" w:rsidRPr="00291E7C" w14:paraId="22561CBF" w14:textId="77777777" w:rsidTr="0064257B">
        <w:tc>
          <w:tcPr>
            <w:tcW w:w="1270" w:type="dxa"/>
            <w:vAlign w:val="bottom"/>
          </w:tcPr>
          <w:p w14:paraId="32B92D1B" w14:textId="77777777" w:rsidR="00B43A0E" w:rsidRPr="00291E7C" w:rsidRDefault="00B43A0E" w:rsidP="007611D3">
            <w:r w:rsidRPr="00291E7C">
              <w:rPr>
                <w:rFonts w:eastAsia="Times New Roman" w:cs="Times New Roman"/>
                <w:color w:val="000000"/>
              </w:rPr>
              <w:t>Female</w:t>
            </w:r>
          </w:p>
        </w:tc>
        <w:tc>
          <w:tcPr>
            <w:tcW w:w="1315" w:type="dxa"/>
          </w:tcPr>
          <w:p w14:paraId="05043D01" w14:textId="77777777" w:rsidR="00B43A0E" w:rsidRPr="00291E7C" w:rsidRDefault="00B43A0E">
            <w:r w:rsidRPr="00291E7C">
              <w:rPr>
                <w:rFonts w:eastAsia="Times New Roman" w:cs="Arial"/>
                <w:color w:val="000000"/>
              </w:rPr>
              <w:t>21.5</w:t>
            </w:r>
          </w:p>
        </w:tc>
        <w:tc>
          <w:tcPr>
            <w:tcW w:w="1918" w:type="dxa"/>
          </w:tcPr>
          <w:p w14:paraId="0EA4FAD3" w14:textId="77777777" w:rsidR="00B43A0E" w:rsidRPr="00291E7C" w:rsidRDefault="00B43A0E" w:rsidP="0064257B">
            <w:r w:rsidRPr="00291E7C">
              <w:t xml:space="preserve">During </w:t>
            </w:r>
            <w:r w:rsidR="0064257B" w:rsidRPr="00291E7C">
              <w:t xml:space="preserve">subsequent </w:t>
            </w:r>
            <w:r w:rsidRPr="00291E7C">
              <w:t xml:space="preserve">extraction </w:t>
            </w:r>
            <w:r w:rsidR="0064257B" w:rsidRPr="00291E7C">
              <w:t xml:space="preserve">of </w:t>
            </w:r>
            <w:r w:rsidRPr="00291E7C">
              <w:t>tooth</w:t>
            </w:r>
          </w:p>
        </w:tc>
        <w:tc>
          <w:tcPr>
            <w:tcW w:w="1417" w:type="dxa"/>
          </w:tcPr>
          <w:p w14:paraId="6A37319D" w14:textId="77777777" w:rsidR="00B43A0E" w:rsidRPr="00291E7C" w:rsidRDefault="00B43A0E">
            <w:pPr>
              <w:rPr>
                <w:rFonts w:eastAsia="Times New Roman" w:cs="Times New Roman"/>
                <w:color w:val="000000"/>
              </w:rPr>
            </w:pPr>
            <w:r w:rsidRPr="00291E7C">
              <w:rPr>
                <w:rFonts w:eastAsia="Times New Roman" w:cs="Times New Roman"/>
                <w:color w:val="000000"/>
              </w:rPr>
              <w:t>Left</w:t>
            </w:r>
          </w:p>
        </w:tc>
        <w:tc>
          <w:tcPr>
            <w:tcW w:w="1276" w:type="dxa"/>
            <w:vAlign w:val="bottom"/>
          </w:tcPr>
          <w:p w14:paraId="62774061" w14:textId="77777777" w:rsidR="00B43A0E" w:rsidRPr="00291E7C" w:rsidRDefault="00B43A0E">
            <w:r w:rsidRPr="00291E7C">
              <w:rPr>
                <w:rFonts w:eastAsia="Times New Roman" w:cs="Times New Roman"/>
                <w:color w:val="000000"/>
              </w:rPr>
              <w:t>181</w:t>
            </w:r>
          </w:p>
        </w:tc>
        <w:tc>
          <w:tcPr>
            <w:tcW w:w="1701" w:type="dxa"/>
            <w:vAlign w:val="bottom"/>
          </w:tcPr>
          <w:p w14:paraId="13EDBC1B" w14:textId="77777777" w:rsidR="00B43A0E" w:rsidRPr="00291E7C" w:rsidRDefault="00B43A0E">
            <w:r w:rsidRPr="00291E7C">
              <w:rPr>
                <w:rFonts w:eastAsia="Times New Roman" w:cs="Times New Roman"/>
                <w:color w:val="000000"/>
              </w:rPr>
              <w:t>6</w:t>
            </w:r>
          </w:p>
        </w:tc>
      </w:tr>
      <w:tr w:rsidR="0064257B" w:rsidRPr="00291E7C" w14:paraId="5F3F04A0" w14:textId="77777777" w:rsidTr="0064257B">
        <w:tc>
          <w:tcPr>
            <w:tcW w:w="1270" w:type="dxa"/>
            <w:vAlign w:val="bottom"/>
          </w:tcPr>
          <w:p w14:paraId="5C99830F" w14:textId="77777777" w:rsidR="00B43A0E" w:rsidRPr="00291E7C" w:rsidRDefault="00B43A0E">
            <w:r w:rsidRPr="00291E7C">
              <w:rPr>
                <w:rFonts w:eastAsia="Times New Roman" w:cs="Times New Roman"/>
                <w:color w:val="000000"/>
              </w:rPr>
              <w:t>Female</w:t>
            </w:r>
          </w:p>
        </w:tc>
        <w:tc>
          <w:tcPr>
            <w:tcW w:w="1315" w:type="dxa"/>
          </w:tcPr>
          <w:p w14:paraId="0845AEB8" w14:textId="77777777" w:rsidR="00B43A0E" w:rsidRPr="00291E7C" w:rsidRDefault="00B43A0E">
            <w:r w:rsidRPr="00291E7C">
              <w:rPr>
                <w:rFonts w:eastAsia="Times New Roman" w:cs="Arial"/>
                <w:color w:val="000000"/>
              </w:rPr>
              <w:t>46.7</w:t>
            </w:r>
          </w:p>
        </w:tc>
        <w:tc>
          <w:tcPr>
            <w:tcW w:w="1918" w:type="dxa"/>
          </w:tcPr>
          <w:p w14:paraId="744C7B45" w14:textId="77777777" w:rsidR="00B43A0E" w:rsidRPr="00291E7C" w:rsidRDefault="00B43A0E">
            <w:r w:rsidRPr="00291E7C">
              <w:t>Infected plate</w:t>
            </w:r>
          </w:p>
        </w:tc>
        <w:tc>
          <w:tcPr>
            <w:tcW w:w="1417" w:type="dxa"/>
          </w:tcPr>
          <w:p w14:paraId="3521E946" w14:textId="77777777" w:rsidR="00B43A0E" w:rsidRPr="00291E7C" w:rsidRDefault="00B43A0E">
            <w:pPr>
              <w:rPr>
                <w:rFonts w:eastAsia="Times New Roman" w:cs="Times New Roman"/>
                <w:color w:val="000000"/>
              </w:rPr>
            </w:pPr>
            <w:r w:rsidRPr="00291E7C">
              <w:rPr>
                <w:rFonts w:eastAsia="Times New Roman" w:cs="Times New Roman"/>
                <w:color w:val="000000"/>
              </w:rPr>
              <w:t>Left</w:t>
            </w:r>
          </w:p>
        </w:tc>
        <w:tc>
          <w:tcPr>
            <w:tcW w:w="1276" w:type="dxa"/>
            <w:vAlign w:val="bottom"/>
          </w:tcPr>
          <w:p w14:paraId="70FEE8C9" w14:textId="77777777" w:rsidR="00B43A0E" w:rsidRPr="00291E7C" w:rsidRDefault="00B43A0E">
            <w:r w:rsidRPr="00291E7C">
              <w:rPr>
                <w:rFonts w:eastAsia="Times New Roman" w:cs="Times New Roman"/>
                <w:color w:val="000000"/>
              </w:rPr>
              <w:t>106</w:t>
            </w:r>
          </w:p>
        </w:tc>
        <w:tc>
          <w:tcPr>
            <w:tcW w:w="1701" w:type="dxa"/>
            <w:vAlign w:val="bottom"/>
          </w:tcPr>
          <w:p w14:paraId="7E35565C" w14:textId="77777777" w:rsidR="00B43A0E" w:rsidRPr="00291E7C" w:rsidRDefault="00B43A0E">
            <w:r w:rsidRPr="00291E7C">
              <w:rPr>
                <w:rFonts w:eastAsia="Times New Roman" w:cs="Times New Roman"/>
                <w:color w:val="000000"/>
              </w:rPr>
              <w:t>7</w:t>
            </w:r>
          </w:p>
        </w:tc>
      </w:tr>
      <w:tr w:rsidR="0064257B" w:rsidRPr="00291E7C" w14:paraId="4E1AC8A2" w14:textId="77777777" w:rsidTr="0064257B">
        <w:tc>
          <w:tcPr>
            <w:tcW w:w="1270" w:type="dxa"/>
            <w:vAlign w:val="bottom"/>
          </w:tcPr>
          <w:p w14:paraId="0FA15C0C" w14:textId="77777777" w:rsidR="00B43A0E" w:rsidRPr="00291E7C" w:rsidRDefault="00B43A0E">
            <w:r w:rsidRPr="00291E7C">
              <w:rPr>
                <w:rFonts w:eastAsia="Times New Roman" w:cs="Times New Roman"/>
                <w:color w:val="000000"/>
              </w:rPr>
              <w:t>Female</w:t>
            </w:r>
          </w:p>
        </w:tc>
        <w:tc>
          <w:tcPr>
            <w:tcW w:w="1315" w:type="dxa"/>
          </w:tcPr>
          <w:p w14:paraId="3C54FDBE" w14:textId="77777777" w:rsidR="00B43A0E" w:rsidRPr="00291E7C" w:rsidRDefault="00B43A0E">
            <w:r w:rsidRPr="00291E7C">
              <w:rPr>
                <w:rFonts w:eastAsia="Times New Roman" w:cs="Arial"/>
                <w:color w:val="000000"/>
              </w:rPr>
              <w:t>25.8</w:t>
            </w:r>
          </w:p>
        </w:tc>
        <w:tc>
          <w:tcPr>
            <w:tcW w:w="1918" w:type="dxa"/>
          </w:tcPr>
          <w:p w14:paraId="23974382" w14:textId="77777777" w:rsidR="00B43A0E" w:rsidRPr="00291E7C" w:rsidRDefault="0064257B">
            <w:r w:rsidRPr="00291E7C">
              <w:t>Wound d</w:t>
            </w:r>
            <w:r w:rsidR="00B43A0E" w:rsidRPr="00291E7C">
              <w:t>ehiscence</w:t>
            </w:r>
          </w:p>
        </w:tc>
        <w:tc>
          <w:tcPr>
            <w:tcW w:w="1417" w:type="dxa"/>
          </w:tcPr>
          <w:p w14:paraId="7D0591C3" w14:textId="77777777" w:rsidR="00B43A0E" w:rsidRPr="00291E7C" w:rsidRDefault="00B43A0E">
            <w:pPr>
              <w:rPr>
                <w:rFonts w:eastAsia="Times New Roman" w:cs="Times New Roman"/>
                <w:color w:val="000000"/>
              </w:rPr>
            </w:pPr>
            <w:r w:rsidRPr="00291E7C">
              <w:rPr>
                <w:rFonts w:eastAsia="Times New Roman" w:cs="Times New Roman"/>
                <w:color w:val="000000"/>
              </w:rPr>
              <w:t>Right</w:t>
            </w:r>
          </w:p>
        </w:tc>
        <w:tc>
          <w:tcPr>
            <w:tcW w:w="1276" w:type="dxa"/>
            <w:vAlign w:val="bottom"/>
          </w:tcPr>
          <w:p w14:paraId="59B5E73D" w14:textId="77777777" w:rsidR="00B43A0E" w:rsidRPr="00291E7C" w:rsidRDefault="00B43A0E">
            <w:r w:rsidRPr="00291E7C">
              <w:rPr>
                <w:rFonts w:eastAsia="Times New Roman" w:cs="Times New Roman"/>
                <w:color w:val="000000"/>
              </w:rPr>
              <w:t>128</w:t>
            </w:r>
          </w:p>
        </w:tc>
        <w:tc>
          <w:tcPr>
            <w:tcW w:w="1701" w:type="dxa"/>
            <w:vAlign w:val="bottom"/>
          </w:tcPr>
          <w:p w14:paraId="327503AD" w14:textId="77777777" w:rsidR="00B43A0E" w:rsidRPr="00291E7C" w:rsidRDefault="00B43A0E">
            <w:r w:rsidRPr="00291E7C">
              <w:rPr>
                <w:rFonts w:eastAsia="Times New Roman" w:cs="Times New Roman"/>
                <w:color w:val="000000"/>
              </w:rPr>
              <w:t>7</w:t>
            </w:r>
          </w:p>
        </w:tc>
      </w:tr>
      <w:tr w:rsidR="0064257B" w:rsidRPr="00291E7C" w14:paraId="305BBD53" w14:textId="77777777" w:rsidTr="0064257B">
        <w:tc>
          <w:tcPr>
            <w:tcW w:w="1270" w:type="dxa"/>
            <w:vAlign w:val="bottom"/>
          </w:tcPr>
          <w:p w14:paraId="748FBEF2" w14:textId="77777777" w:rsidR="00B43A0E" w:rsidRPr="00291E7C" w:rsidRDefault="00B43A0E">
            <w:r w:rsidRPr="00291E7C">
              <w:rPr>
                <w:rFonts w:eastAsia="Times New Roman" w:cs="Times New Roman"/>
                <w:color w:val="000000"/>
              </w:rPr>
              <w:t>Female</w:t>
            </w:r>
          </w:p>
        </w:tc>
        <w:tc>
          <w:tcPr>
            <w:tcW w:w="1315" w:type="dxa"/>
          </w:tcPr>
          <w:p w14:paraId="499D50C9" w14:textId="77777777" w:rsidR="00B43A0E" w:rsidRPr="00291E7C" w:rsidRDefault="00B43A0E">
            <w:r w:rsidRPr="00291E7C">
              <w:rPr>
                <w:rFonts w:eastAsia="Times New Roman" w:cs="Arial"/>
                <w:color w:val="000000"/>
              </w:rPr>
              <w:t>31.4</w:t>
            </w:r>
          </w:p>
        </w:tc>
        <w:tc>
          <w:tcPr>
            <w:tcW w:w="1918" w:type="dxa"/>
          </w:tcPr>
          <w:p w14:paraId="33310710" w14:textId="77777777" w:rsidR="00B43A0E" w:rsidRPr="00291E7C" w:rsidRDefault="00B43A0E">
            <w:r w:rsidRPr="00291E7C">
              <w:t>Pain</w:t>
            </w:r>
          </w:p>
        </w:tc>
        <w:tc>
          <w:tcPr>
            <w:tcW w:w="1417" w:type="dxa"/>
          </w:tcPr>
          <w:p w14:paraId="7AE8B4B2" w14:textId="77777777" w:rsidR="00B43A0E" w:rsidRPr="00291E7C" w:rsidRDefault="00B43A0E">
            <w:pPr>
              <w:rPr>
                <w:rFonts w:eastAsia="Times New Roman" w:cs="Times New Roman"/>
                <w:color w:val="000000"/>
              </w:rPr>
            </w:pPr>
            <w:r w:rsidRPr="00291E7C">
              <w:rPr>
                <w:rFonts w:eastAsia="Times New Roman" w:cs="Times New Roman"/>
                <w:color w:val="000000"/>
              </w:rPr>
              <w:t>Left</w:t>
            </w:r>
          </w:p>
        </w:tc>
        <w:tc>
          <w:tcPr>
            <w:tcW w:w="1276" w:type="dxa"/>
            <w:vAlign w:val="bottom"/>
          </w:tcPr>
          <w:p w14:paraId="4C69003B" w14:textId="77777777" w:rsidR="00B43A0E" w:rsidRPr="00291E7C" w:rsidRDefault="00B43A0E">
            <w:r w:rsidRPr="00291E7C">
              <w:rPr>
                <w:rFonts w:eastAsia="Times New Roman" w:cs="Times New Roman"/>
                <w:color w:val="000000"/>
              </w:rPr>
              <w:t>420</w:t>
            </w:r>
          </w:p>
        </w:tc>
        <w:tc>
          <w:tcPr>
            <w:tcW w:w="1701" w:type="dxa"/>
            <w:vAlign w:val="bottom"/>
          </w:tcPr>
          <w:p w14:paraId="733AC31A" w14:textId="77777777" w:rsidR="00B43A0E" w:rsidRPr="00291E7C" w:rsidRDefault="00B43A0E">
            <w:r w:rsidRPr="00291E7C">
              <w:rPr>
                <w:rFonts w:eastAsia="Times New Roman" w:cs="Times New Roman"/>
                <w:color w:val="000000"/>
              </w:rPr>
              <w:t>7</w:t>
            </w:r>
          </w:p>
        </w:tc>
      </w:tr>
      <w:tr w:rsidR="0064257B" w:rsidRPr="00291E7C" w14:paraId="2D3AF57B" w14:textId="77777777" w:rsidTr="0064257B">
        <w:tc>
          <w:tcPr>
            <w:tcW w:w="1270" w:type="dxa"/>
            <w:vAlign w:val="bottom"/>
          </w:tcPr>
          <w:p w14:paraId="4A7ADCD0" w14:textId="77777777" w:rsidR="00B43A0E" w:rsidRPr="00291E7C" w:rsidRDefault="00B43A0E">
            <w:r w:rsidRPr="00291E7C">
              <w:rPr>
                <w:rFonts w:eastAsia="Times New Roman" w:cs="Times New Roman"/>
                <w:color w:val="000000"/>
              </w:rPr>
              <w:t>Female</w:t>
            </w:r>
          </w:p>
        </w:tc>
        <w:tc>
          <w:tcPr>
            <w:tcW w:w="1315" w:type="dxa"/>
          </w:tcPr>
          <w:p w14:paraId="6675F239" w14:textId="77777777" w:rsidR="00B43A0E" w:rsidRPr="00291E7C" w:rsidRDefault="00B43A0E">
            <w:r w:rsidRPr="00291E7C">
              <w:rPr>
                <w:rFonts w:eastAsia="Times New Roman" w:cs="Arial"/>
                <w:color w:val="000000"/>
              </w:rPr>
              <w:t>31.4</w:t>
            </w:r>
          </w:p>
        </w:tc>
        <w:tc>
          <w:tcPr>
            <w:tcW w:w="1918" w:type="dxa"/>
          </w:tcPr>
          <w:p w14:paraId="55DA6CAB" w14:textId="77777777" w:rsidR="00B43A0E" w:rsidRPr="00291E7C" w:rsidRDefault="00B43A0E">
            <w:r w:rsidRPr="00291E7C">
              <w:t>Pain</w:t>
            </w:r>
          </w:p>
        </w:tc>
        <w:tc>
          <w:tcPr>
            <w:tcW w:w="1417" w:type="dxa"/>
          </w:tcPr>
          <w:p w14:paraId="3787AE8B" w14:textId="77777777" w:rsidR="00B43A0E" w:rsidRPr="00291E7C" w:rsidRDefault="00B43A0E">
            <w:pPr>
              <w:rPr>
                <w:rFonts w:eastAsia="Times New Roman" w:cs="Times New Roman"/>
                <w:color w:val="000000"/>
              </w:rPr>
            </w:pPr>
            <w:r w:rsidRPr="00291E7C">
              <w:rPr>
                <w:rFonts w:eastAsia="Times New Roman" w:cs="Times New Roman"/>
                <w:color w:val="000000"/>
              </w:rPr>
              <w:t>Right</w:t>
            </w:r>
          </w:p>
        </w:tc>
        <w:tc>
          <w:tcPr>
            <w:tcW w:w="1276" w:type="dxa"/>
            <w:vAlign w:val="bottom"/>
          </w:tcPr>
          <w:p w14:paraId="6B3FDCD7" w14:textId="77777777" w:rsidR="00B43A0E" w:rsidRPr="00291E7C" w:rsidRDefault="00B43A0E">
            <w:r w:rsidRPr="00291E7C">
              <w:rPr>
                <w:rFonts w:eastAsia="Times New Roman" w:cs="Times New Roman"/>
                <w:color w:val="000000"/>
              </w:rPr>
              <w:t>574</w:t>
            </w:r>
          </w:p>
        </w:tc>
        <w:tc>
          <w:tcPr>
            <w:tcW w:w="1701" w:type="dxa"/>
            <w:vAlign w:val="bottom"/>
          </w:tcPr>
          <w:p w14:paraId="0C0815DA" w14:textId="77777777" w:rsidR="00B43A0E" w:rsidRPr="00291E7C" w:rsidRDefault="00B43A0E">
            <w:r w:rsidRPr="00291E7C">
              <w:rPr>
                <w:rFonts w:eastAsia="Times New Roman" w:cs="Times New Roman"/>
                <w:color w:val="000000"/>
              </w:rPr>
              <w:t>7</w:t>
            </w:r>
          </w:p>
        </w:tc>
      </w:tr>
      <w:tr w:rsidR="0064257B" w:rsidRPr="00291E7C" w14:paraId="46595CF9" w14:textId="77777777" w:rsidTr="0064257B">
        <w:tc>
          <w:tcPr>
            <w:tcW w:w="1270" w:type="dxa"/>
            <w:vAlign w:val="bottom"/>
          </w:tcPr>
          <w:p w14:paraId="49E84CBF" w14:textId="77777777" w:rsidR="00B43A0E" w:rsidRPr="00291E7C" w:rsidRDefault="00B43A0E">
            <w:pPr>
              <w:rPr>
                <w:rFonts w:eastAsia="Times New Roman" w:cs="Times New Roman"/>
                <w:color w:val="000000"/>
              </w:rPr>
            </w:pPr>
            <w:r w:rsidRPr="00291E7C">
              <w:rPr>
                <w:rFonts w:eastAsia="Times New Roman" w:cs="Times New Roman"/>
                <w:color w:val="000000"/>
              </w:rPr>
              <w:t>Male</w:t>
            </w:r>
          </w:p>
        </w:tc>
        <w:tc>
          <w:tcPr>
            <w:tcW w:w="1315" w:type="dxa"/>
          </w:tcPr>
          <w:p w14:paraId="6FD505CA" w14:textId="77777777" w:rsidR="00B43A0E" w:rsidRPr="00291E7C" w:rsidRDefault="00B43A0E">
            <w:r w:rsidRPr="00291E7C">
              <w:rPr>
                <w:rFonts w:eastAsia="Times New Roman" w:cs="Arial"/>
                <w:color w:val="000000"/>
              </w:rPr>
              <w:t>25.7</w:t>
            </w:r>
          </w:p>
        </w:tc>
        <w:tc>
          <w:tcPr>
            <w:tcW w:w="1918" w:type="dxa"/>
          </w:tcPr>
          <w:p w14:paraId="5A4BFE62" w14:textId="77777777" w:rsidR="00B43A0E" w:rsidRPr="00291E7C" w:rsidRDefault="00B43A0E">
            <w:r w:rsidRPr="00291E7C">
              <w:t>Pain</w:t>
            </w:r>
          </w:p>
        </w:tc>
        <w:tc>
          <w:tcPr>
            <w:tcW w:w="1417" w:type="dxa"/>
          </w:tcPr>
          <w:p w14:paraId="306AD3F0" w14:textId="77777777" w:rsidR="00B43A0E" w:rsidRPr="00291E7C" w:rsidRDefault="00B43A0E">
            <w:pPr>
              <w:rPr>
                <w:rFonts w:eastAsia="Times New Roman" w:cs="Times New Roman"/>
                <w:color w:val="000000"/>
              </w:rPr>
            </w:pPr>
            <w:r w:rsidRPr="00291E7C">
              <w:rPr>
                <w:rFonts w:eastAsia="Times New Roman" w:cs="Times New Roman"/>
                <w:color w:val="000000"/>
              </w:rPr>
              <w:t>Left</w:t>
            </w:r>
          </w:p>
        </w:tc>
        <w:tc>
          <w:tcPr>
            <w:tcW w:w="1276" w:type="dxa"/>
            <w:vAlign w:val="bottom"/>
          </w:tcPr>
          <w:p w14:paraId="0D516BF7" w14:textId="77777777" w:rsidR="00B43A0E" w:rsidRPr="00291E7C" w:rsidRDefault="00B43A0E">
            <w:r w:rsidRPr="00291E7C">
              <w:rPr>
                <w:rFonts w:eastAsia="Times New Roman" w:cs="Times New Roman"/>
                <w:color w:val="000000"/>
              </w:rPr>
              <w:t>174</w:t>
            </w:r>
          </w:p>
        </w:tc>
        <w:tc>
          <w:tcPr>
            <w:tcW w:w="1701" w:type="dxa"/>
            <w:vAlign w:val="bottom"/>
          </w:tcPr>
          <w:p w14:paraId="07A7AB0A" w14:textId="77777777" w:rsidR="00B43A0E" w:rsidRPr="00291E7C" w:rsidRDefault="00381C03">
            <w:r w:rsidRPr="00291E7C">
              <w:rPr>
                <w:rFonts w:eastAsia="Times New Roman" w:cs="Times New Roman"/>
                <w:color w:val="000000"/>
              </w:rPr>
              <w:t>8</w:t>
            </w:r>
          </w:p>
        </w:tc>
      </w:tr>
      <w:tr w:rsidR="0064257B" w:rsidRPr="00291E7C" w14:paraId="4ABD2E4A" w14:textId="77777777" w:rsidTr="0064257B">
        <w:tc>
          <w:tcPr>
            <w:tcW w:w="1270" w:type="dxa"/>
            <w:vAlign w:val="bottom"/>
          </w:tcPr>
          <w:p w14:paraId="6D509B17" w14:textId="77777777" w:rsidR="00B43A0E" w:rsidRPr="00291E7C" w:rsidRDefault="00B43A0E">
            <w:pPr>
              <w:rPr>
                <w:rFonts w:eastAsia="Times New Roman" w:cs="Times New Roman"/>
                <w:color w:val="000000"/>
              </w:rPr>
            </w:pPr>
            <w:r w:rsidRPr="00291E7C">
              <w:rPr>
                <w:rFonts w:eastAsia="Times New Roman" w:cs="Times New Roman"/>
                <w:color w:val="000000"/>
              </w:rPr>
              <w:t>Female</w:t>
            </w:r>
          </w:p>
        </w:tc>
        <w:tc>
          <w:tcPr>
            <w:tcW w:w="1315" w:type="dxa"/>
          </w:tcPr>
          <w:p w14:paraId="485AAB01" w14:textId="77777777" w:rsidR="00B43A0E" w:rsidRPr="00291E7C" w:rsidRDefault="00B43A0E">
            <w:r w:rsidRPr="00291E7C">
              <w:rPr>
                <w:rFonts w:eastAsia="Times New Roman" w:cs="Arial"/>
                <w:color w:val="000000"/>
              </w:rPr>
              <w:t>19.0</w:t>
            </w:r>
          </w:p>
        </w:tc>
        <w:tc>
          <w:tcPr>
            <w:tcW w:w="1918" w:type="dxa"/>
          </w:tcPr>
          <w:p w14:paraId="595F23B2" w14:textId="77777777" w:rsidR="00B43A0E" w:rsidRPr="00291E7C" w:rsidRDefault="00B43A0E">
            <w:r w:rsidRPr="00291E7C">
              <w:t>Exposed plate</w:t>
            </w:r>
          </w:p>
        </w:tc>
        <w:tc>
          <w:tcPr>
            <w:tcW w:w="1417" w:type="dxa"/>
          </w:tcPr>
          <w:p w14:paraId="31E957CE" w14:textId="77777777" w:rsidR="00B43A0E" w:rsidRPr="00291E7C" w:rsidRDefault="00B43A0E">
            <w:pPr>
              <w:rPr>
                <w:rFonts w:eastAsia="Times New Roman" w:cs="Times New Roman"/>
                <w:color w:val="000000"/>
              </w:rPr>
            </w:pPr>
            <w:r w:rsidRPr="00291E7C">
              <w:rPr>
                <w:rFonts w:eastAsia="Times New Roman" w:cs="Times New Roman"/>
                <w:color w:val="000000"/>
              </w:rPr>
              <w:t>Left</w:t>
            </w:r>
          </w:p>
        </w:tc>
        <w:tc>
          <w:tcPr>
            <w:tcW w:w="1276" w:type="dxa"/>
            <w:vAlign w:val="bottom"/>
          </w:tcPr>
          <w:p w14:paraId="5FDA4224" w14:textId="77777777" w:rsidR="00B43A0E" w:rsidRPr="00291E7C" w:rsidRDefault="00B43A0E">
            <w:r w:rsidRPr="00291E7C">
              <w:rPr>
                <w:rFonts w:eastAsia="Times New Roman" w:cs="Times New Roman"/>
                <w:color w:val="000000"/>
              </w:rPr>
              <w:t>854</w:t>
            </w:r>
          </w:p>
        </w:tc>
        <w:tc>
          <w:tcPr>
            <w:tcW w:w="1701" w:type="dxa"/>
            <w:vAlign w:val="bottom"/>
          </w:tcPr>
          <w:p w14:paraId="532843C8" w14:textId="77777777" w:rsidR="00B43A0E" w:rsidRPr="00291E7C" w:rsidRDefault="00B43A0E">
            <w:r w:rsidRPr="00291E7C">
              <w:rPr>
                <w:rFonts w:eastAsia="Times New Roman" w:cs="Times New Roman"/>
                <w:color w:val="000000"/>
              </w:rPr>
              <w:t>10</w:t>
            </w:r>
          </w:p>
        </w:tc>
      </w:tr>
      <w:tr w:rsidR="0064257B" w:rsidRPr="00291E7C" w14:paraId="35AE00E7" w14:textId="77777777" w:rsidTr="0064257B">
        <w:tc>
          <w:tcPr>
            <w:tcW w:w="1270" w:type="dxa"/>
            <w:vAlign w:val="bottom"/>
          </w:tcPr>
          <w:p w14:paraId="56A5B688" w14:textId="77777777" w:rsidR="00B43A0E" w:rsidRPr="00291E7C" w:rsidRDefault="00B43A0E">
            <w:pPr>
              <w:rPr>
                <w:rFonts w:eastAsia="Times New Roman" w:cs="Times New Roman"/>
                <w:color w:val="000000"/>
              </w:rPr>
            </w:pPr>
            <w:r w:rsidRPr="00291E7C">
              <w:rPr>
                <w:rFonts w:eastAsia="Times New Roman" w:cs="Times New Roman"/>
                <w:color w:val="000000"/>
              </w:rPr>
              <w:t>Female</w:t>
            </w:r>
          </w:p>
        </w:tc>
        <w:tc>
          <w:tcPr>
            <w:tcW w:w="1315" w:type="dxa"/>
          </w:tcPr>
          <w:p w14:paraId="2E585D98" w14:textId="77777777" w:rsidR="00B43A0E" w:rsidRPr="00291E7C" w:rsidRDefault="00B43A0E">
            <w:r w:rsidRPr="00291E7C">
              <w:rPr>
                <w:rFonts w:eastAsia="Times New Roman" w:cs="Arial"/>
                <w:color w:val="000000"/>
              </w:rPr>
              <w:t>32.5</w:t>
            </w:r>
          </w:p>
        </w:tc>
        <w:tc>
          <w:tcPr>
            <w:tcW w:w="1918" w:type="dxa"/>
          </w:tcPr>
          <w:p w14:paraId="0F0B5010" w14:textId="77777777" w:rsidR="00B43A0E" w:rsidRPr="00291E7C" w:rsidRDefault="00B43A0E">
            <w:r w:rsidRPr="00291E7C">
              <w:t>Infection</w:t>
            </w:r>
          </w:p>
        </w:tc>
        <w:tc>
          <w:tcPr>
            <w:tcW w:w="1417" w:type="dxa"/>
          </w:tcPr>
          <w:p w14:paraId="400B1FFF" w14:textId="77777777" w:rsidR="00B43A0E" w:rsidRPr="00291E7C" w:rsidRDefault="00B43A0E">
            <w:pPr>
              <w:rPr>
                <w:rFonts w:eastAsia="Times New Roman" w:cs="Times New Roman"/>
                <w:color w:val="000000"/>
              </w:rPr>
            </w:pPr>
            <w:r w:rsidRPr="00291E7C">
              <w:rPr>
                <w:rFonts w:eastAsia="Times New Roman" w:cs="Times New Roman"/>
                <w:color w:val="000000"/>
              </w:rPr>
              <w:t>Right</w:t>
            </w:r>
          </w:p>
        </w:tc>
        <w:tc>
          <w:tcPr>
            <w:tcW w:w="1276" w:type="dxa"/>
            <w:vAlign w:val="bottom"/>
          </w:tcPr>
          <w:p w14:paraId="05D75D98" w14:textId="77777777" w:rsidR="00B43A0E" w:rsidRPr="00291E7C" w:rsidRDefault="00B43A0E">
            <w:r w:rsidRPr="00291E7C">
              <w:rPr>
                <w:rFonts w:eastAsia="Times New Roman" w:cs="Times New Roman"/>
                <w:color w:val="000000"/>
              </w:rPr>
              <w:t>547</w:t>
            </w:r>
          </w:p>
        </w:tc>
        <w:tc>
          <w:tcPr>
            <w:tcW w:w="1701" w:type="dxa"/>
            <w:vAlign w:val="bottom"/>
          </w:tcPr>
          <w:p w14:paraId="322E4F89" w14:textId="77777777" w:rsidR="00B43A0E" w:rsidRPr="00291E7C" w:rsidRDefault="00B43A0E">
            <w:r w:rsidRPr="00291E7C">
              <w:rPr>
                <w:rFonts w:eastAsia="Times New Roman" w:cs="Times New Roman"/>
                <w:color w:val="000000"/>
              </w:rPr>
              <w:t>13</w:t>
            </w:r>
          </w:p>
        </w:tc>
      </w:tr>
      <w:tr w:rsidR="0064257B" w:rsidRPr="00291E7C" w14:paraId="33BB0A2B" w14:textId="77777777" w:rsidTr="0064257B">
        <w:tc>
          <w:tcPr>
            <w:tcW w:w="1270" w:type="dxa"/>
            <w:vAlign w:val="bottom"/>
          </w:tcPr>
          <w:p w14:paraId="6F65785B" w14:textId="77777777" w:rsidR="00B43A0E" w:rsidRPr="00291E7C" w:rsidRDefault="00B43A0E">
            <w:pPr>
              <w:rPr>
                <w:rFonts w:eastAsia="Times New Roman" w:cs="Times New Roman"/>
                <w:color w:val="000000"/>
              </w:rPr>
            </w:pPr>
            <w:r w:rsidRPr="00291E7C">
              <w:rPr>
                <w:rFonts w:eastAsia="Times New Roman" w:cs="Times New Roman"/>
                <w:color w:val="000000"/>
              </w:rPr>
              <w:t>Female</w:t>
            </w:r>
          </w:p>
        </w:tc>
        <w:tc>
          <w:tcPr>
            <w:tcW w:w="1315" w:type="dxa"/>
          </w:tcPr>
          <w:p w14:paraId="22C71E1E" w14:textId="77777777" w:rsidR="00B43A0E" w:rsidRPr="00291E7C" w:rsidRDefault="00B43A0E">
            <w:r w:rsidRPr="00291E7C">
              <w:rPr>
                <w:rFonts w:eastAsia="Times New Roman" w:cs="Arial"/>
                <w:color w:val="000000"/>
              </w:rPr>
              <w:t>32.6</w:t>
            </w:r>
          </w:p>
        </w:tc>
        <w:tc>
          <w:tcPr>
            <w:tcW w:w="1918" w:type="dxa"/>
          </w:tcPr>
          <w:p w14:paraId="4BDB1D78" w14:textId="77777777" w:rsidR="00B43A0E" w:rsidRPr="00291E7C" w:rsidRDefault="00B43A0E">
            <w:r w:rsidRPr="00291E7C">
              <w:t>Infection</w:t>
            </w:r>
          </w:p>
        </w:tc>
        <w:tc>
          <w:tcPr>
            <w:tcW w:w="1417" w:type="dxa"/>
          </w:tcPr>
          <w:p w14:paraId="300663C1" w14:textId="77777777" w:rsidR="00B43A0E" w:rsidRPr="00291E7C" w:rsidRDefault="00B43A0E">
            <w:pPr>
              <w:rPr>
                <w:rFonts w:eastAsia="Times New Roman" w:cs="Times New Roman"/>
                <w:color w:val="000000"/>
              </w:rPr>
            </w:pPr>
            <w:r w:rsidRPr="00291E7C">
              <w:rPr>
                <w:rFonts w:eastAsia="Times New Roman" w:cs="Times New Roman"/>
                <w:color w:val="000000"/>
              </w:rPr>
              <w:t>n/a</w:t>
            </w:r>
          </w:p>
        </w:tc>
        <w:tc>
          <w:tcPr>
            <w:tcW w:w="1276" w:type="dxa"/>
            <w:vAlign w:val="bottom"/>
          </w:tcPr>
          <w:p w14:paraId="002DB0D1" w14:textId="77777777" w:rsidR="00B43A0E" w:rsidRPr="00291E7C" w:rsidRDefault="00B43A0E">
            <w:r w:rsidRPr="00291E7C">
              <w:rPr>
                <w:rFonts w:eastAsia="Times New Roman" w:cs="Times New Roman"/>
                <w:color w:val="000000"/>
              </w:rPr>
              <w:t>527</w:t>
            </w:r>
          </w:p>
        </w:tc>
        <w:tc>
          <w:tcPr>
            <w:tcW w:w="1701" w:type="dxa"/>
            <w:vAlign w:val="bottom"/>
          </w:tcPr>
          <w:p w14:paraId="73E50343" w14:textId="77777777" w:rsidR="00B43A0E" w:rsidRPr="00291E7C" w:rsidRDefault="00B43A0E">
            <w:r w:rsidRPr="00291E7C">
              <w:rPr>
                <w:rFonts w:eastAsia="Times New Roman" w:cs="Times New Roman"/>
                <w:color w:val="000000"/>
              </w:rPr>
              <w:t>13</w:t>
            </w:r>
          </w:p>
        </w:tc>
      </w:tr>
    </w:tbl>
    <w:p w14:paraId="2981D9FB" w14:textId="77777777" w:rsidR="004B659C" w:rsidRDefault="00030919">
      <w:r w:rsidRPr="00291E7C">
        <w:t>Table 2. Characteristics of patients who had plates removed.</w:t>
      </w:r>
    </w:p>
    <w:p w14:paraId="75943B29" w14:textId="77777777" w:rsidR="006F4C38" w:rsidRDefault="006F4C38"/>
    <w:p w14:paraId="52AE90F3" w14:textId="77777777" w:rsidR="006F4C38" w:rsidRDefault="006F4C38"/>
    <w:p w14:paraId="0DFB9A44" w14:textId="77777777" w:rsidR="006F4C38" w:rsidRPr="00291E7C" w:rsidRDefault="006F4C38">
      <w:pPr>
        <w:sectPr w:rsidR="006F4C38" w:rsidRPr="00291E7C" w:rsidSect="004B659C">
          <w:pgSz w:w="11900" w:h="16840"/>
          <w:pgMar w:top="1440" w:right="1800" w:bottom="1440" w:left="1800" w:header="708" w:footer="708" w:gutter="0"/>
          <w:cols w:space="708"/>
          <w:docGrid w:linePitch="360"/>
        </w:sectPr>
      </w:pPr>
    </w:p>
    <w:p w14:paraId="0859C9F8" w14:textId="77777777" w:rsidR="00EC2B34" w:rsidRDefault="00EC2B34"/>
    <w:tbl>
      <w:tblPr>
        <w:tblStyle w:val="TableGrid"/>
        <w:tblW w:w="14425" w:type="dxa"/>
        <w:tblLook w:val="04A0" w:firstRow="1" w:lastRow="0" w:firstColumn="1" w:lastColumn="0" w:noHBand="0" w:noVBand="1"/>
      </w:tblPr>
      <w:tblGrid>
        <w:gridCol w:w="1255"/>
        <w:gridCol w:w="2296"/>
        <w:gridCol w:w="1519"/>
        <w:gridCol w:w="1185"/>
        <w:gridCol w:w="1933"/>
        <w:gridCol w:w="1418"/>
        <w:gridCol w:w="2126"/>
        <w:gridCol w:w="2693"/>
      </w:tblGrid>
      <w:tr w:rsidR="004B659C" w:rsidRPr="004B659C" w14:paraId="4ED7881A" w14:textId="77777777" w:rsidTr="00291E7C">
        <w:tc>
          <w:tcPr>
            <w:tcW w:w="1255" w:type="dxa"/>
          </w:tcPr>
          <w:p w14:paraId="77A5E976" w14:textId="77777777" w:rsidR="00077055" w:rsidRPr="004B659C" w:rsidRDefault="00077055">
            <w:pPr>
              <w:rPr>
                <w:rFonts w:asciiTheme="majorHAnsi" w:hAnsiTheme="majorHAnsi"/>
                <w:sz w:val="20"/>
                <w:szCs w:val="20"/>
              </w:rPr>
            </w:pPr>
            <w:r w:rsidRPr="004B659C">
              <w:rPr>
                <w:rFonts w:asciiTheme="majorHAnsi" w:hAnsiTheme="majorHAnsi"/>
                <w:sz w:val="20"/>
                <w:szCs w:val="20"/>
              </w:rPr>
              <w:t>Authors</w:t>
            </w:r>
          </w:p>
        </w:tc>
        <w:tc>
          <w:tcPr>
            <w:tcW w:w="2296" w:type="dxa"/>
          </w:tcPr>
          <w:p w14:paraId="32FA40D0" w14:textId="77777777" w:rsidR="00077055" w:rsidRPr="004B659C" w:rsidRDefault="00077055">
            <w:pPr>
              <w:rPr>
                <w:rFonts w:asciiTheme="majorHAnsi" w:hAnsiTheme="majorHAnsi"/>
                <w:sz w:val="20"/>
                <w:szCs w:val="20"/>
              </w:rPr>
            </w:pPr>
            <w:r w:rsidRPr="004B659C">
              <w:rPr>
                <w:rFonts w:asciiTheme="majorHAnsi" w:hAnsiTheme="majorHAnsi"/>
                <w:sz w:val="20"/>
                <w:szCs w:val="20"/>
              </w:rPr>
              <w:t>Year of publication/ country</w:t>
            </w:r>
          </w:p>
        </w:tc>
        <w:tc>
          <w:tcPr>
            <w:tcW w:w="1519" w:type="dxa"/>
          </w:tcPr>
          <w:p w14:paraId="45954999" w14:textId="77777777" w:rsidR="00077055" w:rsidRPr="004B659C" w:rsidRDefault="00077055">
            <w:pPr>
              <w:rPr>
                <w:rFonts w:asciiTheme="majorHAnsi" w:hAnsiTheme="majorHAnsi"/>
                <w:sz w:val="20"/>
                <w:szCs w:val="20"/>
              </w:rPr>
            </w:pPr>
            <w:r w:rsidRPr="004B659C">
              <w:rPr>
                <w:rFonts w:asciiTheme="majorHAnsi" w:hAnsiTheme="majorHAnsi"/>
                <w:sz w:val="20"/>
                <w:szCs w:val="20"/>
              </w:rPr>
              <w:t>Study design</w:t>
            </w:r>
          </w:p>
        </w:tc>
        <w:tc>
          <w:tcPr>
            <w:tcW w:w="1185" w:type="dxa"/>
          </w:tcPr>
          <w:p w14:paraId="0B354ADA" w14:textId="77777777" w:rsidR="00077055" w:rsidRPr="004B659C" w:rsidRDefault="00077055">
            <w:pPr>
              <w:rPr>
                <w:rFonts w:asciiTheme="majorHAnsi" w:hAnsiTheme="majorHAnsi"/>
                <w:sz w:val="20"/>
                <w:szCs w:val="20"/>
              </w:rPr>
            </w:pPr>
            <w:r w:rsidRPr="004B659C">
              <w:rPr>
                <w:rFonts w:asciiTheme="majorHAnsi" w:hAnsiTheme="majorHAnsi"/>
                <w:sz w:val="20"/>
                <w:szCs w:val="20"/>
              </w:rPr>
              <w:t>Number of patients studied</w:t>
            </w:r>
          </w:p>
        </w:tc>
        <w:tc>
          <w:tcPr>
            <w:tcW w:w="1933" w:type="dxa"/>
          </w:tcPr>
          <w:p w14:paraId="16853FA0" w14:textId="77777777" w:rsidR="00077055" w:rsidRPr="004B659C" w:rsidRDefault="00077055">
            <w:pPr>
              <w:rPr>
                <w:rFonts w:asciiTheme="majorHAnsi" w:hAnsiTheme="majorHAnsi"/>
                <w:sz w:val="20"/>
                <w:szCs w:val="20"/>
              </w:rPr>
            </w:pPr>
            <w:r w:rsidRPr="004B659C">
              <w:rPr>
                <w:rFonts w:asciiTheme="majorHAnsi" w:hAnsiTheme="majorHAnsi"/>
                <w:sz w:val="20"/>
                <w:szCs w:val="20"/>
              </w:rPr>
              <w:t xml:space="preserve">Type of </w:t>
            </w:r>
            <w:r w:rsidR="004B659C">
              <w:rPr>
                <w:rFonts w:asciiTheme="majorHAnsi" w:hAnsiTheme="majorHAnsi"/>
                <w:sz w:val="20"/>
                <w:szCs w:val="20"/>
              </w:rPr>
              <w:t xml:space="preserve">orthognathic </w:t>
            </w:r>
            <w:r w:rsidRPr="004B659C">
              <w:rPr>
                <w:rFonts w:asciiTheme="majorHAnsi" w:hAnsiTheme="majorHAnsi"/>
                <w:sz w:val="20"/>
                <w:szCs w:val="20"/>
              </w:rPr>
              <w:t>surgery</w:t>
            </w:r>
            <w:r w:rsidR="00FF50FF" w:rsidRPr="004B659C">
              <w:rPr>
                <w:rFonts w:asciiTheme="majorHAnsi" w:hAnsiTheme="majorHAnsi"/>
                <w:sz w:val="20"/>
                <w:szCs w:val="20"/>
              </w:rPr>
              <w:t xml:space="preserve"> (maxillary, mandibular </w:t>
            </w:r>
            <w:r w:rsidR="00291E7C">
              <w:rPr>
                <w:rFonts w:asciiTheme="majorHAnsi" w:hAnsiTheme="majorHAnsi"/>
                <w:sz w:val="20"/>
                <w:szCs w:val="20"/>
              </w:rPr>
              <w:t xml:space="preserve">or </w:t>
            </w:r>
            <w:r w:rsidR="00FF50FF" w:rsidRPr="004B659C">
              <w:rPr>
                <w:rFonts w:asciiTheme="majorHAnsi" w:hAnsiTheme="majorHAnsi"/>
                <w:sz w:val="20"/>
                <w:szCs w:val="20"/>
              </w:rPr>
              <w:t>both)</w:t>
            </w:r>
          </w:p>
        </w:tc>
        <w:tc>
          <w:tcPr>
            <w:tcW w:w="1418" w:type="dxa"/>
          </w:tcPr>
          <w:p w14:paraId="10E699F8" w14:textId="77777777" w:rsidR="00077055" w:rsidRPr="004B659C" w:rsidRDefault="00077055">
            <w:pPr>
              <w:rPr>
                <w:rFonts w:asciiTheme="majorHAnsi" w:hAnsiTheme="majorHAnsi"/>
                <w:sz w:val="20"/>
                <w:szCs w:val="20"/>
              </w:rPr>
            </w:pPr>
            <w:r w:rsidRPr="004B659C">
              <w:rPr>
                <w:rFonts w:asciiTheme="majorHAnsi" w:hAnsiTheme="majorHAnsi"/>
                <w:sz w:val="20"/>
                <w:szCs w:val="20"/>
              </w:rPr>
              <w:t>Rate of metal plate removal</w:t>
            </w:r>
          </w:p>
        </w:tc>
        <w:tc>
          <w:tcPr>
            <w:tcW w:w="2126" w:type="dxa"/>
          </w:tcPr>
          <w:p w14:paraId="79AD8573" w14:textId="77777777" w:rsidR="00077055" w:rsidRPr="004B659C" w:rsidRDefault="00FF50FF">
            <w:pPr>
              <w:rPr>
                <w:rFonts w:asciiTheme="majorHAnsi" w:hAnsiTheme="majorHAnsi"/>
                <w:sz w:val="20"/>
                <w:szCs w:val="20"/>
              </w:rPr>
            </w:pPr>
            <w:r w:rsidRPr="004B659C">
              <w:rPr>
                <w:rFonts w:asciiTheme="majorHAnsi" w:hAnsiTheme="majorHAnsi"/>
                <w:sz w:val="20"/>
                <w:szCs w:val="20"/>
              </w:rPr>
              <w:t>Risk factors identified</w:t>
            </w:r>
          </w:p>
        </w:tc>
        <w:tc>
          <w:tcPr>
            <w:tcW w:w="2693" w:type="dxa"/>
          </w:tcPr>
          <w:p w14:paraId="10E57C20" w14:textId="77777777" w:rsidR="00077055" w:rsidRPr="004B659C" w:rsidRDefault="00F2032C" w:rsidP="00F2032C">
            <w:pPr>
              <w:rPr>
                <w:rFonts w:asciiTheme="majorHAnsi" w:hAnsiTheme="majorHAnsi"/>
                <w:sz w:val="20"/>
                <w:szCs w:val="20"/>
              </w:rPr>
            </w:pPr>
            <w:r>
              <w:rPr>
                <w:rFonts w:asciiTheme="majorHAnsi" w:hAnsiTheme="majorHAnsi"/>
                <w:sz w:val="20"/>
                <w:szCs w:val="20"/>
              </w:rPr>
              <w:t>Was</w:t>
            </w:r>
            <w:r w:rsidR="00FF50FF" w:rsidRPr="004B659C">
              <w:rPr>
                <w:rFonts w:asciiTheme="majorHAnsi" w:hAnsiTheme="majorHAnsi"/>
                <w:sz w:val="20"/>
                <w:szCs w:val="20"/>
              </w:rPr>
              <w:t xml:space="preserve"> size</w:t>
            </w:r>
            <w:r w:rsidR="00030919">
              <w:rPr>
                <w:rFonts w:asciiTheme="majorHAnsi" w:hAnsiTheme="majorHAnsi"/>
                <w:sz w:val="20"/>
                <w:szCs w:val="20"/>
              </w:rPr>
              <w:t xml:space="preserve"> or direction</w:t>
            </w:r>
            <w:r w:rsidR="00FF50FF" w:rsidRPr="004B659C">
              <w:rPr>
                <w:rFonts w:asciiTheme="majorHAnsi" w:hAnsiTheme="majorHAnsi"/>
                <w:sz w:val="20"/>
                <w:szCs w:val="20"/>
              </w:rPr>
              <w:t xml:space="preserve"> of movement studied?</w:t>
            </w:r>
          </w:p>
        </w:tc>
      </w:tr>
      <w:tr w:rsidR="004B659C" w:rsidRPr="004B659C" w14:paraId="13812740" w14:textId="77777777" w:rsidTr="00291E7C">
        <w:tc>
          <w:tcPr>
            <w:tcW w:w="1255" w:type="dxa"/>
            <w:vAlign w:val="bottom"/>
          </w:tcPr>
          <w:p w14:paraId="3D8D3B4A" w14:textId="77777777" w:rsidR="00FF50FF" w:rsidRPr="009965DC" w:rsidRDefault="00FF50FF" w:rsidP="00077055">
            <w:pPr>
              <w:rPr>
                <w:rFonts w:asciiTheme="majorHAnsi" w:hAnsiTheme="majorHAnsi" w:cs="Arial"/>
                <w:sz w:val="20"/>
                <w:szCs w:val="20"/>
              </w:rPr>
            </w:pPr>
            <w:proofErr w:type="spellStart"/>
            <w:r w:rsidRPr="009965DC">
              <w:rPr>
                <w:rFonts w:asciiTheme="majorHAnsi" w:hAnsiTheme="majorHAnsi" w:cs="Arial"/>
                <w:sz w:val="20"/>
                <w:szCs w:val="20"/>
              </w:rPr>
              <w:t>Widar</w:t>
            </w:r>
            <w:proofErr w:type="spellEnd"/>
            <w:r w:rsidRPr="009965DC">
              <w:rPr>
                <w:rFonts w:asciiTheme="majorHAnsi" w:hAnsiTheme="majorHAnsi" w:cs="Arial"/>
                <w:sz w:val="20"/>
                <w:szCs w:val="20"/>
              </w:rPr>
              <w:t xml:space="preserve"> F</w:t>
            </w:r>
          </w:p>
        </w:tc>
        <w:tc>
          <w:tcPr>
            <w:tcW w:w="2296" w:type="dxa"/>
            <w:vAlign w:val="bottom"/>
          </w:tcPr>
          <w:p w14:paraId="6E286AA9" w14:textId="77777777" w:rsidR="00FF50FF" w:rsidRPr="009965DC" w:rsidRDefault="00FF50FF">
            <w:pPr>
              <w:rPr>
                <w:rFonts w:asciiTheme="majorHAnsi" w:hAnsiTheme="majorHAnsi" w:cs="Arial"/>
                <w:sz w:val="20"/>
                <w:szCs w:val="20"/>
              </w:rPr>
            </w:pPr>
            <w:r w:rsidRPr="009965DC">
              <w:rPr>
                <w:rFonts w:asciiTheme="majorHAnsi" w:hAnsiTheme="majorHAnsi" w:cs="Arial"/>
                <w:sz w:val="20"/>
                <w:szCs w:val="20"/>
              </w:rPr>
              <w:t>Sweden/2017</w:t>
            </w:r>
          </w:p>
        </w:tc>
        <w:tc>
          <w:tcPr>
            <w:tcW w:w="1519" w:type="dxa"/>
          </w:tcPr>
          <w:p w14:paraId="1F90BB00" w14:textId="77777777" w:rsidR="00FF50FF" w:rsidRPr="004B659C" w:rsidRDefault="00FF50FF">
            <w:pPr>
              <w:rPr>
                <w:rFonts w:asciiTheme="majorHAnsi" w:hAnsiTheme="majorHAnsi"/>
                <w:sz w:val="20"/>
                <w:szCs w:val="20"/>
              </w:rPr>
            </w:pPr>
            <w:r w:rsidRPr="004B659C">
              <w:rPr>
                <w:rFonts w:asciiTheme="majorHAnsi" w:hAnsiTheme="majorHAnsi"/>
                <w:sz w:val="20"/>
                <w:szCs w:val="20"/>
              </w:rPr>
              <w:t>Retrospective questionnaire</w:t>
            </w:r>
          </w:p>
        </w:tc>
        <w:tc>
          <w:tcPr>
            <w:tcW w:w="1185" w:type="dxa"/>
            <w:vAlign w:val="bottom"/>
          </w:tcPr>
          <w:p w14:paraId="0E62AE2B"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404</w:t>
            </w:r>
          </w:p>
        </w:tc>
        <w:tc>
          <w:tcPr>
            <w:tcW w:w="1933" w:type="dxa"/>
            <w:vAlign w:val="bottom"/>
          </w:tcPr>
          <w:p w14:paraId="7AC05FD0" w14:textId="77777777" w:rsidR="00FF50FF" w:rsidRPr="004B659C" w:rsidRDefault="00FF50FF">
            <w:pPr>
              <w:rPr>
                <w:rFonts w:asciiTheme="majorHAnsi" w:hAnsiTheme="majorHAnsi"/>
                <w:sz w:val="20"/>
                <w:szCs w:val="20"/>
              </w:rPr>
            </w:pPr>
            <w:r w:rsidRPr="004B659C">
              <w:rPr>
                <w:rFonts w:asciiTheme="majorHAnsi" w:hAnsiTheme="majorHAnsi"/>
                <w:sz w:val="20"/>
                <w:szCs w:val="20"/>
              </w:rPr>
              <w:t>Both</w:t>
            </w:r>
          </w:p>
        </w:tc>
        <w:tc>
          <w:tcPr>
            <w:tcW w:w="1418" w:type="dxa"/>
            <w:vAlign w:val="bottom"/>
          </w:tcPr>
          <w:p w14:paraId="4128B79B"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15%</w:t>
            </w:r>
          </w:p>
        </w:tc>
        <w:tc>
          <w:tcPr>
            <w:tcW w:w="2126" w:type="dxa"/>
            <w:vAlign w:val="bottom"/>
          </w:tcPr>
          <w:p w14:paraId="521897B0" w14:textId="77777777" w:rsidR="00FF50FF" w:rsidRPr="004B659C" w:rsidRDefault="00030919">
            <w:pPr>
              <w:rPr>
                <w:rFonts w:asciiTheme="majorHAnsi" w:hAnsiTheme="majorHAnsi"/>
                <w:sz w:val="20"/>
                <w:szCs w:val="20"/>
              </w:rPr>
            </w:pPr>
            <w:r>
              <w:rPr>
                <w:rFonts w:asciiTheme="majorHAnsi" w:hAnsiTheme="majorHAnsi"/>
                <w:sz w:val="20"/>
                <w:szCs w:val="20"/>
              </w:rPr>
              <w:t>S</w:t>
            </w:r>
            <w:r w:rsidR="00FF50FF" w:rsidRPr="004B659C">
              <w:rPr>
                <w:rFonts w:asciiTheme="majorHAnsi" w:hAnsiTheme="majorHAnsi"/>
                <w:sz w:val="20"/>
                <w:szCs w:val="20"/>
              </w:rPr>
              <w:t>moking, mandibular plates, number of plates</w:t>
            </w:r>
          </w:p>
        </w:tc>
        <w:tc>
          <w:tcPr>
            <w:tcW w:w="2693" w:type="dxa"/>
          </w:tcPr>
          <w:p w14:paraId="148027BD" w14:textId="77777777" w:rsidR="00FF50FF" w:rsidRPr="004B659C" w:rsidRDefault="00FF50FF">
            <w:pPr>
              <w:rPr>
                <w:rFonts w:asciiTheme="majorHAnsi" w:hAnsiTheme="majorHAnsi"/>
                <w:sz w:val="20"/>
                <w:szCs w:val="20"/>
              </w:rPr>
            </w:pPr>
            <w:r w:rsidRPr="004B659C">
              <w:rPr>
                <w:rFonts w:asciiTheme="majorHAnsi" w:hAnsiTheme="majorHAnsi"/>
                <w:sz w:val="20"/>
                <w:szCs w:val="20"/>
              </w:rPr>
              <w:t>no</w:t>
            </w:r>
          </w:p>
        </w:tc>
      </w:tr>
      <w:tr w:rsidR="009965DC" w:rsidRPr="004B659C" w14:paraId="2DCBAC03" w14:textId="77777777" w:rsidTr="00291E7C">
        <w:tc>
          <w:tcPr>
            <w:tcW w:w="1255" w:type="dxa"/>
            <w:vAlign w:val="bottom"/>
          </w:tcPr>
          <w:p w14:paraId="5CCB6E75"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Little M</w:t>
            </w:r>
          </w:p>
        </w:tc>
        <w:tc>
          <w:tcPr>
            <w:tcW w:w="2296" w:type="dxa"/>
            <w:vAlign w:val="bottom"/>
          </w:tcPr>
          <w:p w14:paraId="03595ECA"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UK/2015</w:t>
            </w:r>
          </w:p>
        </w:tc>
        <w:tc>
          <w:tcPr>
            <w:tcW w:w="1519" w:type="dxa"/>
          </w:tcPr>
          <w:p w14:paraId="16962E85"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1A837491"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202</w:t>
            </w:r>
          </w:p>
        </w:tc>
        <w:tc>
          <w:tcPr>
            <w:tcW w:w="1933" w:type="dxa"/>
            <w:vAlign w:val="bottom"/>
          </w:tcPr>
          <w:p w14:paraId="401BA6C2"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Both</w:t>
            </w:r>
          </w:p>
        </w:tc>
        <w:tc>
          <w:tcPr>
            <w:tcW w:w="1418" w:type="dxa"/>
            <w:vAlign w:val="bottom"/>
          </w:tcPr>
          <w:p w14:paraId="7FD93046" w14:textId="77777777" w:rsidR="009965DC" w:rsidRPr="004B659C" w:rsidRDefault="009965DC" w:rsidP="00E04C27">
            <w:pPr>
              <w:jc w:val="right"/>
              <w:rPr>
                <w:rFonts w:asciiTheme="majorHAnsi" w:hAnsiTheme="majorHAnsi"/>
                <w:color w:val="000000"/>
                <w:sz w:val="20"/>
                <w:szCs w:val="20"/>
              </w:rPr>
            </w:pPr>
            <w:r w:rsidRPr="004B659C">
              <w:rPr>
                <w:rFonts w:asciiTheme="majorHAnsi" w:hAnsiTheme="majorHAnsi"/>
                <w:color w:val="000000"/>
                <w:sz w:val="20"/>
                <w:szCs w:val="20"/>
              </w:rPr>
              <w:t>10.40%</w:t>
            </w:r>
          </w:p>
        </w:tc>
        <w:tc>
          <w:tcPr>
            <w:tcW w:w="2126" w:type="dxa"/>
            <w:vAlign w:val="bottom"/>
          </w:tcPr>
          <w:p w14:paraId="4A1DD86D" w14:textId="77777777" w:rsidR="009965DC" w:rsidRPr="004B659C" w:rsidRDefault="009965DC" w:rsidP="00E04C27">
            <w:pPr>
              <w:rPr>
                <w:rFonts w:asciiTheme="majorHAnsi" w:hAnsiTheme="majorHAnsi"/>
                <w:color w:val="000000"/>
                <w:sz w:val="20"/>
                <w:szCs w:val="20"/>
              </w:rPr>
            </w:pPr>
            <w:r w:rsidRPr="004B659C">
              <w:rPr>
                <w:rFonts w:asciiTheme="majorHAnsi" w:hAnsiTheme="majorHAnsi"/>
                <w:color w:val="000000"/>
                <w:sz w:val="20"/>
                <w:szCs w:val="20"/>
              </w:rPr>
              <w:t>Mandibular plates</w:t>
            </w:r>
          </w:p>
        </w:tc>
        <w:tc>
          <w:tcPr>
            <w:tcW w:w="2693" w:type="dxa"/>
            <w:vAlign w:val="bottom"/>
          </w:tcPr>
          <w:p w14:paraId="7604B61F" w14:textId="77777777" w:rsidR="009965DC" w:rsidRPr="004B659C" w:rsidRDefault="009965DC" w:rsidP="00E04C27">
            <w:pPr>
              <w:rPr>
                <w:rFonts w:asciiTheme="majorHAnsi" w:hAnsiTheme="majorHAnsi"/>
                <w:color w:val="000000"/>
                <w:sz w:val="20"/>
                <w:szCs w:val="20"/>
              </w:rPr>
            </w:pPr>
            <w:r w:rsidRPr="004B659C">
              <w:rPr>
                <w:rFonts w:asciiTheme="majorHAnsi" w:hAnsiTheme="majorHAnsi"/>
                <w:color w:val="000000"/>
                <w:sz w:val="20"/>
                <w:szCs w:val="20"/>
              </w:rPr>
              <w:t>no</w:t>
            </w:r>
          </w:p>
        </w:tc>
      </w:tr>
      <w:tr w:rsidR="009965DC" w:rsidRPr="004B659C" w14:paraId="6170679E" w14:textId="77777777" w:rsidTr="00291E7C">
        <w:tc>
          <w:tcPr>
            <w:tcW w:w="1255" w:type="dxa"/>
            <w:vAlign w:val="bottom"/>
          </w:tcPr>
          <w:p w14:paraId="7992C687" w14:textId="77777777" w:rsidR="009965DC" w:rsidRPr="004B659C" w:rsidRDefault="002A2C9C" w:rsidP="00E04C27">
            <w:pPr>
              <w:rPr>
                <w:rFonts w:asciiTheme="majorHAnsi" w:hAnsiTheme="majorHAnsi"/>
                <w:sz w:val="20"/>
                <w:szCs w:val="20"/>
              </w:rPr>
            </w:pPr>
            <w:r>
              <w:rPr>
                <w:rFonts w:asciiTheme="majorHAnsi" w:hAnsiTheme="majorHAnsi"/>
                <w:sz w:val="20"/>
                <w:szCs w:val="20"/>
              </w:rPr>
              <w:t>Falter B</w:t>
            </w:r>
          </w:p>
        </w:tc>
        <w:tc>
          <w:tcPr>
            <w:tcW w:w="2296" w:type="dxa"/>
            <w:vAlign w:val="bottom"/>
          </w:tcPr>
          <w:p w14:paraId="0ED72846"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Belgium/2011</w:t>
            </w:r>
          </w:p>
        </w:tc>
        <w:tc>
          <w:tcPr>
            <w:tcW w:w="1519" w:type="dxa"/>
          </w:tcPr>
          <w:p w14:paraId="6F30C963"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3DAAD180"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570</w:t>
            </w:r>
          </w:p>
        </w:tc>
        <w:tc>
          <w:tcPr>
            <w:tcW w:w="1933" w:type="dxa"/>
            <w:vAlign w:val="bottom"/>
          </w:tcPr>
          <w:p w14:paraId="5D340320"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Both</w:t>
            </w:r>
          </w:p>
        </w:tc>
        <w:tc>
          <w:tcPr>
            <w:tcW w:w="1418" w:type="dxa"/>
            <w:vAlign w:val="bottom"/>
          </w:tcPr>
          <w:p w14:paraId="2F68C47C"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27.50%</w:t>
            </w:r>
          </w:p>
        </w:tc>
        <w:tc>
          <w:tcPr>
            <w:tcW w:w="2126" w:type="dxa"/>
            <w:vAlign w:val="bottom"/>
          </w:tcPr>
          <w:p w14:paraId="61468510" w14:textId="77777777" w:rsidR="009965DC" w:rsidRPr="004B659C" w:rsidRDefault="00030919" w:rsidP="00E04C27">
            <w:pPr>
              <w:rPr>
                <w:rFonts w:asciiTheme="majorHAnsi" w:hAnsiTheme="majorHAnsi"/>
                <w:sz w:val="20"/>
                <w:szCs w:val="20"/>
              </w:rPr>
            </w:pPr>
            <w:r>
              <w:rPr>
                <w:rFonts w:asciiTheme="majorHAnsi" w:hAnsiTheme="majorHAnsi"/>
                <w:sz w:val="20"/>
                <w:szCs w:val="20"/>
              </w:rPr>
              <w:t>F</w:t>
            </w:r>
            <w:r w:rsidR="009965DC" w:rsidRPr="004B659C">
              <w:rPr>
                <w:rFonts w:asciiTheme="majorHAnsi" w:hAnsiTheme="majorHAnsi"/>
                <w:sz w:val="20"/>
                <w:szCs w:val="20"/>
              </w:rPr>
              <w:t>emale sex</w:t>
            </w:r>
          </w:p>
        </w:tc>
        <w:tc>
          <w:tcPr>
            <w:tcW w:w="2693" w:type="dxa"/>
            <w:vAlign w:val="bottom"/>
          </w:tcPr>
          <w:p w14:paraId="696BA39B"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no</w:t>
            </w:r>
          </w:p>
        </w:tc>
      </w:tr>
      <w:tr w:rsidR="004B659C" w:rsidRPr="004B659C" w14:paraId="35F71AE3" w14:textId="77777777" w:rsidTr="00291E7C">
        <w:tc>
          <w:tcPr>
            <w:tcW w:w="1255" w:type="dxa"/>
            <w:vAlign w:val="bottom"/>
          </w:tcPr>
          <w:p w14:paraId="30441155" w14:textId="77777777" w:rsidR="00FF50FF" w:rsidRPr="004B659C" w:rsidRDefault="00FF50FF" w:rsidP="00077055">
            <w:pPr>
              <w:rPr>
                <w:rFonts w:asciiTheme="majorHAnsi" w:hAnsiTheme="majorHAnsi"/>
                <w:sz w:val="20"/>
                <w:szCs w:val="20"/>
              </w:rPr>
            </w:pPr>
            <w:proofErr w:type="spellStart"/>
            <w:r w:rsidRPr="004B659C">
              <w:rPr>
                <w:rFonts w:asciiTheme="majorHAnsi" w:hAnsiTheme="majorHAnsi"/>
                <w:sz w:val="20"/>
                <w:szCs w:val="20"/>
              </w:rPr>
              <w:t>Kuhlefelt</w:t>
            </w:r>
            <w:proofErr w:type="spellEnd"/>
            <w:r w:rsidRPr="004B659C">
              <w:rPr>
                <w:rFonts w:asciiTheme="majorHAnsi" w:hAnsiTheme="majorHAnsi"/>
                <w:sz w:val="20"/>
                <w:szCs w:val="20"/>
              </w:rPr>
              <w:t xml:space="preserve"> M</w:t>
            </w:r>
          </w:p>
        </w:tc>
        <w:tc>
          <w:tcPr>
            <w:tcW w:w="2296" w:type="dxa"/>
            <w:vAlign w:val="bottom"/>
          </w:tcPr>
          <w:p w14:paraId="3E59CA2A" w14:textId="77777777" w:rsidR="00FF50FF" w:rsidRPr="004B659C" w:rsidRDefault="00FF50FF">
            <w:pPr>
              <w:rPr>
                <w:rFonts w:asciiTheme="majorHAnsi" w:hAnsiTheme="majorHAnsi"/>
                <w:sz w:val="20"/>
                <w:szCs w:val="20"/>
              </w:rPr>
            </w:pPr>
            <w:r w:rsidRPr="004B659C">
              <w:rPr>
                <w:rFonts w:asciiTheme="majorHAnsi" w:hAnsiTheme="majorHAnsi"/>
                <w:sz w:val="20"/>
                <w:szCs w:val="20"/>
              </w:rPr>
              <w:t>Finland/2010</w:t>
            </w:r>
          </w:p>
        </w:tc>
        <w:tc>
          <w:tcPr>
            <w:tcW w:w="1519" w:type="dxa"/>
          </w:tcPr>
          <w:p w14:paraId="15AD7065" w14:textId="77777777" w:rsidR="00FF50FF" w:rsidRPr="004B659C" w:rsidRDefault="00FF50FF" w:rsidP="00FF50FF">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39BDA2F1"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153</w:t>
            </w:r>
          </w:p>
        </w:tc>
        <w:tc>
          <w:tcPr>
            <w:tcW w:w="1933" w:type="dxa"/>
            <w:vAlign w:val="bottom"/>
          </w:tcPr>
          <w:p w14:paraId="3B20BFA2" w14:textId="77777777" w:rsidR="00FF50FF" w:rsidRPr="004B659C" w:rsidRDefault="00FF50FF">
            <w:pPr>
              <w:rPr>
                <w:rFonts w:asciiTheme="majorHAnsi" w:hAnsiTheme="majorHAnsi"/>
                <w:sz w:val="20"/>
                <w:szCs w:val="20"/>
              </w:rPr>
            </w:pPr>
            <w:r w:rsidRPr="004B659C">
              <w:rPr>
                <w:rFonts w:asciiTheme="majorHAnsi" w:hAnsiTheme="majorHAnsi"/>
                <w:sz w:val="20"/>
                <w:szCs w:val="20"/>
              </w:rPr>
              <w:t>Mandibular</w:t>
            </w:r>
          </w:p>
        </w:tc>
        <w:tc>
          <w:tcPr>
            <w:tcW w:w="1418" w:type="dxa"/>
            <w:vAlign w:val="bottom"/>
          </w:tcPr>
          <w:p w14:paraId="726479A6"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18.60%</w:t>
            </w:r>
          </w:p>
        </w:tc>
        <w:tc>
          <w:tcPr>
            <w:tcW w:w="2126" w:type="dxa"/>
            <w:vAlign w:val="bottom"/>
          </w:tcPr>
          <w:p w14:paraId="139BC04E" w14:textId="77777777" w:rsidR="00FF50FF" w:rsidRPr="004B659C" w:rsidRDefault="00030919">
            <w:pPr>
              <w:rPr>
                <w:rFonts w:asciiTheme="majorHAnsi" w:hAnsiTheme="majorHAnsi"/>
                <w:sz w:val="20"/>
                <w:szCs w:val="20"/>
              </w:rPr>
            </w:pPr>
            <w:r>
              <w:rPr>
                <w:rFonts w:asciiTheme="majorHAnsi" w:hAnsiTheme="majorHAnsi"/>
                <w:sz w:val="20"/>
                <w:szCs w:val="20"/>
              </w:rPr>
              <w:t>S</w:t>
            </w:r>
            <w:r w:rsidR="00FF50FF" w:rsidRPr="004B659C">
              <w:rPr>
                <w:rFonts w:asciiTheme="majorHAnsi" w:hAnsiTheme="majorHAnsi"/>
                <w:sz w:val="20"/>
                <w:szCs w:val="20"/>
              </w:rPr>
              <w:t xml:space="preserve">moking </w:t>
            </w:r>
          </w:p>
        </w:tc>
        <w:tc>
          <w:tcPr>
            <w:tcW w:w="2693" w:type="dxa"/>
            <w:vAlign w:val="bottom"/>
          </w:tcPr>
          <w:p w14:paraId="592D327F" w14:textId="77777777" w:rsidR="00FF50FF" w:rsidRPr="004B659C" w:rsidRDefault="00030919" w:rsidP="004B659C">
            <w:pPr>
              <w:rPr>
                <w:rFonts w:asciiTheme="majorHAnsi" w:hAnsiTheme="majorHAnsi"/>
                <w:sz w:val="20"/>
                <w:szCs w:val="20"/>
              </w:rPr>
            </w:pPr>
            <w:r>
              <w:rPr>
                <w:rFonts w:asciiTheme="majorHAnsi" w:hAnsiTheme="majorHAnsi"/>
                <w:sz w:val="20"/>
                <w:szCs w:val="20"/>
              </w:rPr>
              <w:t>D</w:t>
            </w:r>
            <w:r w:rsidR="00FF50FF" w:rsidRPr="004B659C">
              <w:rPr>
                <w:rFonts w:asciiTheme="majorHAnsi" w:hAnsiTheme="majorHAnsi"/>
                <w:sz w:val="20"/>
                <w:szCs w:val="20"/>
              </w:rPr>
              <w:t xml:space="preserve">irection showed no </w:t>
            </w:r>
            <w:r w:rsidR="004B659C">
              <w:rPr>
                <w:rFonts w:asciiTheme="majorHAnsi" w:hAnsiTheme="majorHAnsi"/>
                <w:sz w:val="20"/>
                <w:szCs w:val="20"/>
              </w:rPr>
              <w:t>correlation</w:t>
            </w:r>
            <w:r>
              <w:rPr>
                <w:rFonts w:asciiTheme="majorHAnsi" w:hAnsiTheme="majorHAnsi"/>
                <w:sz w:val="20"/>
                <w:szCs w:val="20"/>
              </w:rPr>
              <w:t>, size not studied</w:t>
            </w:r>
          </w:p>
        </w:tc>
      </w:tr>
      <w:tr w:rsidR="009965DC" w:rsidRPr="004B659C" w14:paraId="3FF5905A" w14:textId="77777777" w:rsidTr="00291E7C">
        <w:tc>
          <w:tcPr>
            <w:tcW w:w="1255" w:type="dxa"/>
            <w:vAlign w:val="bottom"/>
          </w:tcPr>
          <w:p w14:paraId="63CF4DC1" w14:textId="77777777" w:rsidR="009965DC" w:rsidRPr="004B659C" w:rsidRDefault="009965DC" w:rsidP="00E04C27">
            <w:pPr>
              <w:rPr>
                <w:rFonts w:asciiTheme="majorHAnsi" w:hAnsiTheme="majorHAnsi"/>
                <w:sz w:val="20"/>
                <w:szCs w:val="20"/>
              </w:rPr>
            </w:pPr>
            <w:proofErr w:type="spellStart"/>
            <w:r w:rsidRPr="004B659C">
              <w:rPr>
                <w:rFonts w:asciiTheme="majorHAnsi" w:hAnsiTheme="majorHAnsi"/>
                <w:sz w:val="20"/>
                <w:szCs w:val="20"/>
              </w:rPr>
              <w:t>Haraji</w:t>
            </w:r>
            <w:proofErr w:type="spellEnd"/>
            <w:r>
              <w:rPr>
                <w:rFonts w:asciiTheme="majorHAnsi" w:hAnsiTheme="majorHAnsi"/>
                <w:sz w:val="20"/>
                <w:szCs w:val="20"/>
              </w:rPr>
              <w:t xml:space="preserve"> A</w:t>
            </w:r>
          </w:p>
        </w:tc>
        <w:tc>
          <w:tcPr>
            <w:tcW w:w="2296" w:type="dxa"/>
            <w:vAlign w:val="bottom"/>
          </w:tcPr>
          <w:p w14:paraId="22E6D668"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Iran/2009</w:t>
            </w:r>
          </w:p>
        </w:tc>
        <w:tc>
          <w:tcPr>
            <w:tcW w:w="1519" w:type="dxa"/>
          </w:tcPr>
          <w:p w14:paraId="0CBC1FD6"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281E163B"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142</w:t>
            </w:r>
          </w:p>
        </w:tc>
        <w:tc>
          <w:tcPr>
            <w:tcW w:w="1933" w:type="dxa"/>
            <w:vAlign w:val="bottom"/>
          </w:tcPr>
          <w:p w14:paraId="2547A5D5"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Maxillary</w:t>
            </w:r>
          </w:p>
        </w:tc>
        <w:tc>
          <w:tcPr>
            <w:tcW w:w="1418" w:type="dxa"/>
            <w:vAlign w:val="bottom"/>
          </w:tcPr>
          <w:p w14:paraId="48B1B265" w14:textId="77777777" w:rsidR="009965DC" w:rsidRPr="004B659C" w:rsidRDefault="009965DC" w:rsidP="00E04C27">
            <w:pPr>
              <w:jc w:val="right"/>
              <w:rPr>
                <w:rFonts w:asciiTheme="majorHAnsi" w:hAnsiTheme="majorHAnsi"/>
                <w:color w:val="000000"/>
                <w:sz w:val="20"/>
                <w:szCs w:val="20"/>
              </w:rPr>
            </w:pPr>
            <w:r w:rsidRPr="004B659C">
              <w:rPr>
                <w:rFonts w:asciiTheme="majorHAnsi" w:hAnsiTheme="majorHAnsi"/>
                <w:color w:val="000000"/>
                <w:sz w:val="20"/>
                <w:szCs w:val="20"/>
              </w:rPr>
              <w:t>10.60%</w:t>
            </w:r>
          </w:p>
        </w:tc>
        <w:tc>
          <w:tcPr>
            <w:tcW w:w="2126" w:type="dxa"/>
            <w:vAlign w:val="bottom"/>
          </w:tcPr>
          <w:p w14:paraId="6415BA9C" w14:textId="77777777" w:rsidR="009965DC" w:rsidRPr="004B659C" w:rsidRDefault="009965DC" w:rsidP="00E04C27">
            <w:pPr>
              <w:rPr>
                <w:rFonts w:asciiTheme="majorHAnsi" w:hAnsiTheme="majorHAnsi"/>
                <w:color w:val="000000"/>
                <w:sz w:val="20"/>
                <w:szCs w:val="20"/>
              </w:rPr>
            </w:pPr>
          </w:p>
        </w:tc>
        <w:tc>
          <w:tcPr>
            <w:tcW w:w="2693" w:type="dxa"/>
            <w:vAlign w:val="bottom"/>
          </w:tcPr>
          <w:p w14:paraId="30A4DE6C" w14:textId="77777777" w:rsidR="009965DC" w:rsidRPr="004B659C" w:rsidRDefault="009965DC" w:rsidP="00E04C27">
            <w:pPr>
              <w:rPr>
                <w:rFonts w:asciiTheme="majorHAnsi" w:hAnsiTheme="majorHAnsi"/>
                <w:color w:val="000000"/>
                <w:sz w:val="20"/>
                <w:szCs w:val="20"/>
              </w:rPr>
            </w:pPr>
            <w:r w:rsidRPr="004B659C">
              <w:rPr>
                <w:rFonts w:asciiTheme="majorHAnsi" w:hAnsiTheme="majorHAnsi"/>
                <w:color w:val="000000"/>
                <w:sz w:val="20"/>
                <w:szCs w:val="20"/>
              </w:rPr>
              <w:t>no</w:t>
            </w:r>
          </w:p>
        </w:tc>
      </w:tr>
      <w:tr w:rsidR="009965DC" w:rsidRPr="004B659C" w14:paraId="70B48C67" w14:textId="77777777" w:rsidTr="00291E7C">
        <w:tc>
          <w:tcPr>
            <w:tcW w:w="1255" w:type="dxa"/>
            <w:vAlign w:val="bottom"/>
          </w:tcPr>
          <w:p w14:paraId="4AAFB299"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Chow</w:t>
            </w:r>
            <w:r>
              <w:rPr>
                <w:rFonts w:asciiTheme="majorHAnsi" w:hAnsiTheme="majorHAnsi"/>
                <w:sz w:val="20"/>
                <w:szCs w:val="20"/>
              </w:rPr>
              <w:t xml:space="preserve"> LK</w:t>
            </w:r>
          </w:p>
        </w:tc>
        <w:tc>
          <w:tcPr>
            <w:tcW w:w="2296" w:type="dxa"/>
            <w:vAlign w:val="bottom"/>
          </w:tcPr>
          <w:p w14:paraId="5163729F"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Hong Kong/2007</w:t>
            </w:r>
          </w:p>
        </w:tc>
        <w:tc>
          <w:tcPr>
            <w:tcW w:w="1519" w:type="dxa"/>
          </w:tcPr>
          <w:p w14:paraId="6F310BD6"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479FF4EC"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1294</w:t>
            </w:r>
          </w:p>
        </w:tc>
        <w:tc>
          <w:tcPr>
            <w:tcW w:w="1933" w:type="dxa"/>
            <w:vAlign w:val="bottom"/>
          </w:tcPr>
          <w:p w14:paraId="5E83D607"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Both</w:t>
            </w:r>
          </w:p>
        </w:tc>
        <w:tc>
          <w:tcPr>
            <w:tcW w:w="1418" w:type="dxa"/>
            <w:vAlign w:val="bottom"/>
          </w:tcPr>
          <w:p w14:paraId="02B6B1A6" w14:textId="77777777" w:rsidR="009965DC" w:rsidRPr="004B659C" w:rsidRDefault="009965DC" w:rsidP="00E04C27">
            <w:pPr>
              <w:jc w:val="right"/>
              <w:rPr>
                <w:rFonts w:asciiTheme="majorHAnsi" w:hAnsiTheme="majorHAnsi"/>
                <w:color w:val="000000"/>
                <w:sz w:val="20"/>
                <w:szCs w:val="20"/>
              </w:rPr>
            </w:pPr>
            <w:r w:rsidRPr="004B659C">
              <w:rPr>
                <w:rFonts w:asciiTheme="majorHAnsi" w:hAnsiTheme="majorHAnsi"/>
                <w:color w:val="000000"/>
                <w:sz w:val="20"/>
                <w:szCs w:val="20"/>
              </w:rPr>
              <w:t>3.50%</w:t>
            </w:r>
          </w:p>
        </w:tc>
        <w:tc>
          <w:tcPr>
            <w:tcW w:w="2126" w:type="dxa"/>
            <w:vAlign w:val="bottom"/>
          </w:tcPr>
          <w:p w14:paraId="35C9DE62" w14:textId="77777777" w:rsidR="009965DC" w:rsidRPr="004B659C" w:rsidRDefault="009965DC" w:rsidP="00E04C27">
            <w:pPr>
              <w:rPr>
                <w:rFonts w:asciiTheme="majorHAnsi" w:hAnsiTheme="majorHAnsi"/>
                <w:color w:val="000000"/>
                <w:sz w:val="20"/>
                <w:szCs w:val="20"/>
              </w:rPr>
            </w:pPr>
          </w:p>
        </w:tc>
        <w:tc>
          <w:tcPr>
            <w:tcW w:w="2693" w:type="dxa"/>
            <w:vAlign w:val="bottom"/>
          </w:tcPr>
          <w:p w14:paraId="1C652E79" w14:textId="77777777" w:rsidR="009965DC" w:rsidRPr="004B659C" w:rsidRDefault="009965DC" w:rsidP="00E04C27">
            <w:pPr>
              <w:rPr>
                <w:rFonts w:asciiTheme="majorHAnsi" w:hAnsiTheme="majorHAnsi"/>
                <w:color w:val="000000"/>
                <w:sz w:val="20"/>
                <w:szCs w:val="20"/>
              </w:rPr>
            </w:pPr>
            <w:r w:rsidRPr="004B659C">
              <w:rPr>
                <w:rFonts w:asciiTheme="majorHAnsi" w:hAnsiTheme="majorHAnsi"/>
                <w:color w:val="000000"/>
                <w:sz w:val="20"/>
                <w:szCs w:val="20"/>
              </w:rPr>
              <w:t>no</w:t>
            </w:r>
          </w:p>
        </w:tc>
      </w:tr>
      <w:tr w:rsidR="004B659C" w:rsidRPr="004B659C" w14:paraId="4D6150AE" w14:textId="77777777" w:rsidTr="00291E7C">
        <w:tc>
          <w:tcPr>
            <w:tcW w:w="1255" w:type="dxa"/>
            <w:vAlign w:val="bottom"/>
          </w:tcPr>
          <w:p w14:paraId="597B5150" w14:textId="77777777" w:rsidR="00FF50FF" w:rsidRPr="004B659C" w:rsidRDefault="00FF50FF" w:rsidP="00077055">
            <w:pPr>
              <w:rPr>
                <w:rFonts w:asciiTheme="majorHAnsi" w:hAnsiTheme="majorHAnsi"/>
                <w:sz w:val="20"/>
                <w:szCs w:val="20"/>
              </w:rPr>
            </w:pPr>
            <w:proofErr w:type="spellStart"/>
            <w:r w:rsidRPr="004B659C">
              <w:rPr>
                <w:rFonts w:asciiTheme="majorHAnsi" w:hAnsiTheme="majorHAnsi"/>
                <w:sz w:val="20"/>
                <w:szCs w:val="20"/>
              </w:rPr>
              <w:t>Theodossy</w:t>
            </w:r>
            <w:proofErr w:type="spellEnd"/>
            <w:r w:rsidRPr="004B659C">
              <w:rPr>
                <w:rFonts w:asciiTheme="majorHAnsi" w:hAnsiTheme="majorHAnsi"/>
                <w:sz w:val="20"/>
                <w:szCs w:val="20"/>
              </w:rPr>
              <w:t xml:space="preserve"> T </w:t>
            </w:r>
          </w:p>
        </w:tc>
        <w:tc>
          <w:tcPr>
            <w:tcW w:w="2296" w:type="dxa"/>
            <w:vAlign w:val="bottom"/>
          </w:tcPr>
          <w:p w14:paraId="6AEB5AAD" w14:textId="77777777" w:rsidR="00FF50FF" w:rsidRPr="004B659C" w:rsidRDefault="00FF50FF">
            <w:pPr>
              <w:rPr>
                <w:rFonts w:asciiTheme="majorHAnsi" w:hAnsiTheme="majorHAnsi"/>
                <w:sz w:val="20"/>
                <w:szCs w:val="20"/>
              </w:rPr>
            </w:pPr>
            <w:r w:rsidRPr="004B659C">
              <w:rPr>
                <w:rFonts w:asciiTheme="majorHAnsi" w:hAnsiTheme="majorHAnsi"/>
                <w:sz w:val="20"/>
                <w:szCs w:val="20"/>
              </w:rPr>
              <w:t>UK/2006</w:t>
            </w:r>
          </w:p>
        </w:tc>
        <w:tc>
          <w:tcPr>
            <w:tcW w:w="1519" w:type="dxa"/>
          </w:tcPr>
          <w:p w14:paraId="62029F46" w14:textId="77777777" w:rsidR="00FF50FF" w:rsidRPr="004B659C" w:rsidRDefault="00FF50FF" w:rsidP="00FF50FF">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19A52729"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80</w:t>
            </w:r>
          </w:p>
        </w:tc>
        <w:tc>
          <w:tcPr>
            <w:tcW w:w="1933" w:type="dxa"/>
            <w:vAlign w:val="bottom"/>
          </w:tcPr>
          <w:p w14:paraId="6FDC047E" w14:textId="77777777" w:rsidR="00FF50FF" w:rsidRPr="004B659C" w:rsidRDefault="00FF50FF">
            <w:pPr>
              <w:rPr>
                <w:rFonts w:asciiTheme="majorHAnsi" w:hAnsiTheme="majorHAnsi"/>
                <w:sz w:val="20"/>
                <w:szCs w:val="20"/>
              </w:rPr>
            </w:pPr>
            <w:r w:rsidRPr="004B659C">
              <w:rPr>
                <w:rFonts w:asciiTheme="majorHAnsi" w:hAnsiTheme="majorHAnsi"/>
                <w:sz w:val="20"/>
                <w:szCs w:val="20"/>
              </w:rPr>
              <w:t>Mandibular</w:t>
            </w:r>
          </w:p>
        </w:tc>
        <w:tc>
          <w:tcPr>
            <w:tcW w:w="1418" w:type="dxa"/>
            <w:vAlign w:val="bottom"/>
          </w:tcPr>
          <w:p w14:paraId="66A5433E"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15.60%</w:t>
            </w:r>
          </w:p>
        </w:tc>
        <w:tc>
          <w:tcPr>
            <w:tcW w:w="2126" w:type="dxa"/>
            <w:vAlign w:val="bottom"/>
          </w:tcPr>
          <w:p w14:paraId="6D1189E5" w14:textId="77777777" w:rsidR="00FF50FF" w:rsidRPr="004B659C" w:rsidRDefault="00030919">
            <w:pPr>
              <w:rPr>
                <w:rFonts w:asciiTheme="majorHAnsi" w:hAnsiTheme="majorHAnsi"/>
                <w:sz w:val="20"/>
                <w:szCs w:val="20"/>
              </w:rPr>
            </w:pPr>
            <w:r>
              <w:rPr>
                <w:rFonts w:asciiTheme="majorHAnsi" w:hAnsiTheme="majorHAnsi"/>
                <w:sz w:val="20"/>
                <w:szCs w:val="20"/>
              </w:rPr>
              <w:t>Increased a</w:t>
            </w:r>
            <w:r w:rsidR="00FF50FF" w:rsidRPr="004B659C">
              <w:rPr>
                <w:rFonts w:asciiTheme="majorHAnsi" w:hAnsiTheme="majorHAnsi"/>
                <w:sz w:val="20"/>
                <w:szCs w:val="20"/>
              </w:rPr>
              <w:t>ge, duration of procedure</w:t>
            </w:r>
          </w:p>
        </w:tc>
        <w:tc>
          <w:tcPr>
            <w:tcW w:w="2693" w:type="dxa"/>
            <w:vAlign w:val="bottom"/>
          </w:tcPr>
          <w:p w14:paraId="54E4175E" w14:textId="77777777" w:rsidR="00FF50FF" w:rsidRPr="004B659C" w:rsidRDefault="00030919">
            <w:pPr>
              <w:rPr>
                <w:rFonts w:asciiTheme="majorHAnsi" w:hAnsiTheme="majorHAnsi"/>
                <w:sz w:val="20"/>
                <w:szCs w:val="20"/>
              </w:rPr>
            </w:pPr>
            <w:r>
              <w:rPr>
                <w:rFonts w:asciiTheme="majorHAnsi" w:hAnsiTheme="majorHAnsi"/>
                <w:sz w:val="20"/>
                <w:szCs w:val="20"/>
              </w:rPr>
              <w:t>D</w:t>
            </w:r>
            <w:r w:rsidR="00FF50FF" w:rsidRPr="004B659C">
              <w:rPr>
                <w:rFonts w:asciiTheme="majorHAnsi" w:hAnsiTheme="majorHAnsi"/>
                <w:sz w:val="20"/>
                <w:szCs w:val="20"/>
              </w:rPr>
              <w:t xml:space="preserve">irection showed no </w:t>
            </w:r>
            <w:r w:rsidR="004B659C">
              <w:rPr>
                <w:rFonts w:asciiTheme="majorHAnsi" w:hAnsiTheme="majorHAnsi"/>
                <w:sz w:val="20"/>
                <w:szCs w:val="20"/>
              </w:rPr>
              <w:t>correlation</w:t>
            </w:r>
            <w:r>
              <w:rPr>
                <w:rFonts w:asciiTheme="majorHAnsi" w:hAnsiTheme="majorHAnsi"/>
                <w:sz w:val="20"/>
                <w:szCs w:val="20"/>
              </w:rPr>
              <w:t>, size not studied</w:t>
            </w:r>
          </w:p>
        </w:tc>
      </w:tr>
      <w:tr w:rsidR="004B659C" w:rsidRPr="004B659C" w14:paraId="27EE1D92" w14:textId="77777777" w:rsidTr="00291E7C">
        <w:tc>
          <w:tcPr>
            <w:tcW w:w="1255" w:type="dxa"/>
            <w:vAlign w:val="bottom"/>
          </w:tcPr>
          <w:p w14:paraId="296113C1" w14:textId="77777777" w:rsidR="00FF50FF" w:rsidRPr="004B659C" w:rsidRDefault="00FF50FF" w:rsidP="00077055">
            <w:pPr>
              <w:rPr>
                <w:rFonts w:asciiTheme="majorHAnsi" w:hAnsiTheme="majorHAnsi"/>
                <w:sz w:val="20"/>
                <w:szCs w:val="20"/>
              </w:rPr>
            </w:pPr>
            <w:r w:rsidRPr="004B659C">
              <w:rPr>
                <w:rFonts w:asciiTheme="majorHAnsi" w:hAnsiTheme="majorHAnsi"/>
                <w:sz w:val="20"/>
                <w:szCs w:val="20"/>
              </w:rPr>
              <w:t>Alpha C</w:t>
            </w:r>
          </w:p>
        </w:tc>
        <w:tc>
          <w:tcPr>
            <w:tcW w:w="2296" w:type="dxa"/>
            <w:vAlign w:val="bottom"/>
          </w:tcPr>
          <w:p w14:paraId="0C3FA636" w14:textId="77777777" w:rsidR="00FF50FF" w:rsidRPr="004B659C" w:rsidRDefault="00FF50FF">
            <w:pPr>
              <w:rPr>
                <w:rFonts w:asciiTheme="majorHAnsi" w:hAnsiTheme="majorHAnsi"/>
                <w:sz w:val="20"/>
                <w:szCs w:val="20"/>
              </w:rPr>
            </w:pPr>
            <w:r w:rsidRPr="004B659C">
              <w:rPr>
                <w:rFonts w:asciiTheme="majorHAnsi" w:hAnsiTheme="majorHAnsi"/>
                <w:sz w:val="20"/>
                <w:szCs w:val="20"/>
              </w:rPr>
              <w:t>USA/2006</w:t>
            </w:r>
          </w:p>
        </w:tc>
        <w:tc>
          <w:tcPr>
            <w:tcW w:w="1519" w:type="dxa"/>
          </w:tcPr>
          <w:p w14:paraId="00D829F5" w14:textId="77777777" w:rsidR="00FF50FF" w:rsidRPr="004B659C" w:rsidRDefault="00FF50FF" w:rsidP="00FF50FF">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7FCE424A"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533</w:t>
            </w:r>
          </w:p>
        </w:tc>
        <w:tc>
          <w:tcPr>
            <w:tcW w:w="1933" w:type="dxa"/>
            <w:vAlign w:val="bottom"/>
          </w:tcPr>
          <w:p w14:paraId="26D20A1F" w14:textId="77777777" w:rsidR="00FF50FF" w:rsidRPr="004B659C" w:rsidRDefault="00FF50FF">
            <w:pPr>
              <w:rPr>
                <w:rFonts w:asciiTheme="majorHAnsi" w:hAnsiTheme="majorHAnsi"/>
                <w:sz w:val="20"/>
                <w:szCs w:val="20"/>
              </w:rPr>
            </w:pPr>
            <w:r w:rsidRPr="004B659C">
              <w:rPr>
                <w:rFonts w:asciiTheme="majorHAnsi" w:hAnsiTheme="majorHAnsi"/>
                <w:sz w:val="20"/>
                <w:szCs w:val="20"/>
              </w:rPr>
              <w:t xml:space="preserve">Mandibular </w:t>
            </w:r>
          </w:p>
        </w:tc>
        <w:tc>
          <w:tcPr>
            <w:tcW w:w="1418" w:type="dxa"/>
            <w:vAlign w:val="bottom"/>
          </w:tcPr>
          <w:p w14:paraId="62DB023A"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6.50%</w:t>
            </w:r>
          </w:p>
        </w:tc>
        <w:tc>
          <w:tcPr>
            <w:tcW w:w="2126" w:type="dxa"/>
            <w:vAlign w:val="bottom"/>
          </w:tcPr>
          <w:p w14:paraId="06F16967" w14:textId="77777777" w:rsidR="00FF50FF" w:rsidRPr="004B659C" w:rsidRDefault="00FF50FF">
            <w:pPr>
              <w:rPr>
                <w:rFonts w:asciiTheme="majorHAnsi" w:hAnsiTheme="majorHAnsi"/>
                <w:sz w:val="20"/>
                <w:szCs w:val="20"/>
              </w:rPr>
            </w:pPr>
            <w:r w:rsidRPr="004B659C">
              <w:rPr>
                <w:rFonts w:asciiTheme="majorHAnsi" w:hAnsiTheme="majorHAnsi"/>
                <w:sz w:val="20"/>
                <w:szCs w:val="20"/>
              </w:rPr>
              <w:t>Hardware close to superior border</w:t>
            </w:r>
          </w:p>
        </w:tc>
        <w:tc>
          <w:tcPr>
            <w:tcW w:w="2693" w:type="dxa"/>
            <w:vAlign w:val="bottom"/>
          </w:tcPr>
          <w:p w14:paraId="76655155" w14:textId="77777777" w:rsidR="00FF50FF" w:rsidRPr="004B659C" w:rsidRDefault="00030919">
            <w:pPr>
              <w:rPr>
                <w:rFonts w:asciiTheme="majorHAnsi" w:hAnsiTheme="majorHAnsi"/>
                <w:sz w:val="20"/>
                <w:szCs w:val="20"/>
              </w:rPr>
            </w:pPr>
            <w:r>
              <w:rPr>
                <w:rFonts w:asciiTheme="majorHAnsi" w:hAnsiTheme="majorHAnsi"/>
                <w:sz w:val="20"/>
                <w:szCs w:val="20"/>
              </w:rPr>
              <w:t>D</w:t>
            </w:r>
            <w:r w:rsidR="00FF50FF" w:rsidRPr="004B659C">
              <w:rPr>
                <w:rFonts w:asciiTheme="majorHAnsi" w:hAnsiTheme="majorHAnsi"/>
                <w:sz w:val="20"/>
                <w:szCs w:val="20"/>
              </w:rPr>
              <w:t xml:space="preserve">irection showed no </w:t>
            </w:r>
            <w:r w:rsidR="004B659C">
              <w:rPr>
                <w:rFonts w:asciiTheme="majorHAnsi" w:hAnsiTheme="majorHAnsi"/>
                <w:sz w:val="20"/>
                <w:szCs w:val="20"/>
              </w:rPr>
              <w:t>correlation</w:t>
            </w:r>
            <w:r>
              <w:rPr>
                <w:rFonts w:asciiTheme="majorHAnsi" w:hAnsiTheme="majorHAnsi"/>
                <w:sz w:val="20"/>
                <w:szCs w:val="20"/>
              </w:rPr>
              <w:t>, size not studied</w:t>
            </w:r>
          </w:p>
        </w:tc>
      </w:tr>
      <w:tr w:rsidR="009965DC" w:rsidRPr="004B659C" w14:paraId="371FC60C" w14:textId="77777777" w:rsidTr="00291E7C">
        <w:tc>
          <w:tcPr>
            <w:tcW w:w="1255" w:type="dxa"/>
            <w:vAlign w:val="bottom"/>
          </w:tcPr>
          <w:p w14:paraId="74F12EE5"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Bhatt</w:t>
            </w:r>
            <w:r>
              <w:rPr>
                <w:rFonts w:asciiTheme="majorHAnsi" w:hAnsiTheme="majorHAnsi"/>
                <w:sz w:val="20"/>
                <w:szCs w:val="20"/>
              </w:rPr>
              <w:t xml:space="preserve"> V</w:t>
            </w:r>
          </w:p>
        </w:tc>
        <w:tc>
          <w:tcPr>
            <w:tcW w:w="2296" w:type="dxa"/>
            <w:vAlign w:val="bottom"/>
          </w:tcPr>
          <w:p w14:paraId="63A1049F"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UK/2005</w:t>
            </w:r>
          </w:p>
        </w:tc>
        <w:tc>
          <w:tcPr>
            <w:tcW w:w="1519" w:type="dxa"/>
          </w:tcPr>
          <w:p w14:paraId="333B244D"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7EEC5DF5"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153</w:t>
            </w:r>
          </w:p>
        </w:tc>
        <w:tc>
          <w:tcPr>
            <w:tcW w:w="1933" w:type="dxa"/>
            <w:vAlign w:val="bottom"/>
          </w:tcPr>
          <w:p w14:paraId="4CDD84DA" w14:textId="77777777" w:rsidR="009965DC" w:rsidRPr="004B659C" w:rsidRDefault="009965DC" w:rsidP="00E04C27">
            <w:pPr>
              <w:rPr>
                <w:rFonts w:asciiTheme="majorHAnsi" w:hAnsiTheme="majorHAnsi"/>
                <w:color w:val="000000"/>
                <w:sz w:val="20"/>
                <w:szCs w:val="20"/>
              </w:rPr>
            </w:pPr>
            <w:r>
              <w:rPr>
                <w:rFonts w:asciiTheme="majorHAnsi" w:hAnsiTheme="majorHAnsi"/>
                <w:color w:val="000000"/>
                <w:sz w:val="20"/>
                <w:szCs w:val="20"/>
              </w:rPr>
              <w:t>Both</w:t>
            </w:r>
          </w:p>
        </w:tc>
        <w:tc>
          <w:tcPr>
            <w:tcW w:w="1418" w:type="dxa"/>
            <w:vAlign w:val="bottom"/>
          </w:tcPr>
          <w:p w14:paraId="693E7AFB" w14:textId="77777777" w:rsidR="009965DC" w:rsidRPr="004B659C" w:rsidRDefault="009965DC" w:rsidP="00E04C27">
            <w:pPr>
              <w:jc w:val="right"/>
              <w:rPr>
                <w:rFonts w:asciiTheme="majorHAnsi" w:hAnsiTheme="majorHAnsi"/>
                <w:color w:val="000000"/>
                <w:sz w:val="20"/>
                <w:szCs w:val="20"/>
              </w:rPr>
            </w:pPr>
            <w:r w:rsidRPr="004B659C">
              <w:rPr>
                <w:rFonts w:asciiTheme="majorHAnsi" w:hAnsiTheme="majorHAnsi"/>
                <w:color w:val="000000"/>
                <w:sz w:val="20"/>
                <w:szCs w:val="20"/>
              </w:rPr>
              <w:t>10.40%</w:t>
            </w:r>
          </w:p>
        </w:tc>
        <w:tc>
          <w:tcPr>
            <w:tcW w:w="2126" w:type="dxa"/>
            <w:vAlign w:val="bottom"/>
          </w:tcPr>
          <w:p w14:paraId="1D00DC95" w14:textId="77777777" w:rsidR="009965DC" w:rsidRPr="004B659C" w:rsidRDefault="00C72767" w:rsidP="00E04C27">
            <w:pPr>
              <w:rPr>
                <w:rFonts w:asciiTheme="majorHAnsi" w:hAnsiTheme="majorHAnsi"/>
                <w:sz w:val="20"/>
                <w:szCs w:val="20"/>
              </w:rPr>
            </w:pPr>
            <w:r>
              <w:rPr>
                <w:rFonts w:asciiTheme="majorHAnsi" w:hAnsiTheme="majorHAnsi"/>
                <w:sz w:val="20"/>
                <w:szCs w:val="20"/>
              </w:rPr>
              <w:t>Increased</w:t>
            </w:r>
            <w:r w:rsidR="00030919">
              <w:rPr>
                <w:rFonts w:asciiTheme="majorHAnsi" w:hAnsiTheme="majorHAnsi"/>
                <w:sz w:val="20"/>
                <w:szCs w:val="20"/>
              </w:rPr>
              <w:t xml:space="preserve"> a</w:t>
            </w:r>
            <w:r w:rsidR="009965DC" w:rsidRPr="004B659C">
              <w:rPr>
                <w:rFonts w:asciiTheme="majorHAnsi" w:hAnsiTheme="majorHAnsi"/>
                <w:sz w:val="20"/>
                <w:szCs w:val="20"/>
              </w:rPr>
              <w:t>ge of patient</w:t>
            </w:r>
          </w:p>
        </w:tc>
        <w:tc>
          <w:tcPr>
            <w:tcW w:w="2693" w:type="dxa"/>
            <w:vAlign w:val="bottom"/>
          </w:tcPr>
          <w:p w14:paraId="451AFB19"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no</w:t>
            </w:r>
          </w:p>
        </w:tc>
      </w:tr>
      <w:tr w:rsidR="009965DC" w:rsidRPr="004B659C" w14:paraId="0B041B07" w14:textId="77777777" w:rsidTr="00291E7C">
        <w:tc>
          <w:tcPr>
            <w:tcW w:w="1255" w:type="dxa"/>
            <w:vAlign w:val="bottom"/>
          </w:tcPr>
          <w:p w14:paraId="58FD9DA3"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Paulina</w:t>
            </w:r>
            <w:r>
              <w:rPr>
                <w:rFonts w:asciiTheme="majorHAnsi" w:hAnsiTheme="majorHAnsi"/>
                <w:sz w:val="20"/>
                <w:szCs w:val="20"/>
              </w:rPr>
              <w:t xml:space="preserve"> K</w:t>
            </w:r>
          </w:p>
        </w:tc>
        <w:tc>
          <w:tcPr>
            <w:tcW w:w="2296" w:type="dxa"/>
            <w:vAlign w:val="bottom"/>
          </w:tcPr>
          <w:p w14:paraId="149569E8"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Finland/2001</w:t>
            </w:r>
          </w:p>
        </w:tc>
        <w:tc>
          <w:tcPr>
            <w:tcW w:w="1519" w:type="dxa"/>
          </w:tcPr>
          <w:p w14:paraId="430CAE24"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58817225"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655</w:t>
            </w:r>
          </w:p>
        </w:tc>
        <w:tc>
          <w:tcPr>
            <w:tcW w:w="1933" w:type="dxa"/>
            <w:vAlign w:val="bottom"/>
          </w:tcPr>
          <w:p w14:paraId="7904D1D3"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Both</w:t>
            </w:r>
          </w:p>
        </w:tc>
        <w:tc>
          <w:tcPr>
            <w:tcW w:w="1418" w:type="dxa"/>
            <w:vAlign w:val="bottom"/>
          </w:tcPr>
          <w:p w14:paraId="48F28A6E" w14:textId="77777777" w:rsidR="009965DC" w:rsidRPr="004B659C" w:rsidRDefault="009965DC" w:rsidP="00E04C27">
            <w:pPr>
              <w:jc w:val="right"/>
              <w:rPr>
                <w:rFonts w:asciiTheme="majorHAnsi" w:hAnsiTheme="majorHAnsi"/>
                <w:color w:val="000000"/>
                <w:sz w:val="20"/>
                <w:szCs w:val="20"/>
              </w:rPr>
            </w:pPr>
            <w:r w:rsidRPr="004B659C">
              <w:rPr>
                <w:rFonts w:asciiTheme="majorHAnsi" w:hAnsiTheme="majorHAnsi"/>
                <w:color w:val="000000"/>
                <w:sz w:val="20"/>
                <w:szCs w:val="20"/>
              </w:rPr>
              <w:t>8%</w:t>
            </w:r>
          </w:p>
        </w:tc>
        <w:tc>
          <w:tcPr>
            <w:tcW w:w="2126" w:type="dxa"/>
            <w:vAlign w:val="bottom"/>
          </w:tcPr>
          <w:p w14:paraId="1BB584B1" w14:textId="77777777" w:rsidR="009965DC" w:rsidRPr="004B659C" w:rsidRDefault="009965DC" w:rsidP="00E04C27">
            <w:pPr>
              <w:rPr>
                <w:rFonts w:asciiTheme="majorHAnsi" w:hAnsiTheme="majorHAnsi"/>
                <w:color w:val="000000"/>
                <w:sz w:val="20"/>
                <w:szCs w:val="20"/>
              </w:rPr>
            </w:pPr>
          </w:p>
        </w:tc>
        <w:tc>
          <w:tcPr>
            <w:tcW w:w="2693" w:type="dxa"/>
            <w:vAlign w:val="bottom"/>
          </w:tcPr>
          <w:p w14:paraId="1DB02EE7" w14:textId="77777777" w:rsidR="009965DC" w:rsidRPr="004B659C" w:rsidRDefault="009965DC" w:rsidP="00E04C27">
            <w:pPr>
              <w:rPr>
                <w:rFonts w:asciiTheme="majorHAnsi" w:hAnsiTheme="majorHAnsi"/>
                <w:color w:val="000000"/>
                <w:sz w:val="20"/>
                <w:szCs w:val="20"/>
              </w:rPr>
            </w:pPr>
            <w:r w:rsidRPr="004B659C">
              <w:rPr>
                <w:rFonts w:asciiTheme="majorHAnsi" w:hAnsiTheme="majorHAnsi"/>
                <w:color w:val="000000"/>
                <w:sz w:val="20"/>
                <w:szCs w:val="20"/>
              </w:rPr>
              <w:t>no</w:t>
            </w:r>
          </w:p>
        </w:tc>
      </w:tr>
      <w:tr w:rsidR="009965DC" w:rsidRPr="004B659C" w14:paraId="00842D8E" w14:textId="77777777" w:rsidTr="00291E7C">
        <w:tc>
          <w:tcPr>
            <w:tcW w:w="1255" w:type="dxa"/>
            <w:vAlign w:val="bottom"/>
          </w:tcPr>
          <w:p w14:paraId="378D9D7B"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Manor</w:t>
            </w:r>
            <w:r>
              <w:rPr>
                <w:rFonts w:asciiTheme="majorHAnsi" w:hAnsiTheme="majorHAnsi"/>
                <w:sz w:val="20"/>
                <w:szCs w:val="20"/>
              </w:rPr>
              <w:t xml:space="preserve"> Y</w:t>
            </w:r>
          </w:p>
        </w:tc>
        <w:tc>
          <w:tcPr>
            <w:tcW w:w="2296" w:type="dxa"/>
            <w:vAlign w:val="bottom"/>
          </w:tcPr>
          <w:p w14:paraId="4EDF4B87"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Israel/1999</w:t>
            </w:r>
          </w:p>
        </w:tc>
        <w:tc>
          <w:tcPr>
            <w:tcW w:w="1519" w:type="dxa"/>
          </w:tcPr>
          <w:p w14:paraId="67615DB2"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1D5465D6" w14:textId="77777777" w:rsidR="009965DC" w:rsidRPr="004B659C" w:rsidRDefault="009965DC" w:rsidP="00E04C27">
            <w:pPr>
              <w:jc w:val="right"/>
              <w:rPr>
                <w:rFonts w:asciiTheme="majorHAnsi" w:hAnsiTheme="majorHAnsi"/>
                <w:sz w:val="20"/>
                <w:szCs w:val="20"/>
              </w:rPr>
            </w:pPr>
            <w:r w:rsidRPr="004B659C">
              <w:rPr>
                <w:rFonts w:asciiTheme="majorHAnsi" w:hAnsiTheme="majorHAnsi"/>
                <w:sz w:val="20"/>
                <w:szCs w:val="20"/>
              </w:rPr>
              <w:t>70</w:t>
            </w:r>
          </w:p>
        </w:tc>
        <w:tc>
          <w:tcPr>
            <w:tcW w:w="1933" w:type="dxa"/>
            <w:vAlign w:val="bottom"/>
          </w:tcPr>
          <w:p w14:paraId="49D372FF" w14:textId="77777777" w:rsidR="009965DC" w:rsidRPr="004B659C" w:rsidRDefault="009965DC" w:rsidP="00E04C27">
            <w:pPr>
              <w:rPr>
                <w:rFonts w:asciiTheme="majorHAnsi" w:hAnsiTheme="majorHAnsi"/>
                <w:sz w:val="20"/>
                <w:szCs w:val="20"/>
              </w:rPr>
            </w:pPr>
            <w:r w:rsidRPr="004B659C">
              <w:rPr>
                <w:rFonts w:asciiTheme="majorHAnsi" w:hAnsiTheme="majorHAnsi"/>
                <w:sz w:val="20"/>
                <w:szCs w:val="20"/>
              </w:rPr>
              <w:t>Both</w:t>
            </w:r>
          </w:p>
        </w:tc>
        <w:tc>
          <w:tcPr>
            <w:tcW w:w="1418" w:type="dxa"/>
            <w:vAlign w:val="bottom"/>
          </w:tcPr>
          <w:p w14:paraId="4FEF7993" w14:textId="77777777" w:rsidR="009965DC" w:rsidRPr="004B659C" w:rsidRDefault="009965DC" w:rsidP="00E04C27">
            <w:pPr>
              <w:jc w:val="right"/>
              <w:rPr>
                <w:rFonts w:asciiTheme="majorHAnsi" w:hAnsiTheme="majorHAnsi"/>
                <w:color w:val="000000"/>
                <w:sz w:val="20"/>
                <w:szCs w:val="20"/>
              </w:rPr>
            </w:pPr>
            <w:r w:rsidRPr="004B659C">
              <w:rPr>
                <w:rFonts w:asciiTheme="majorHAnsi" w:hAnsiTheme="majorHAnsi"/>
                <w:color w:val="000000"/>
                <w:sz w:val="20"/>
                <w:szCs w:val="20"/>
              </w:rPr>
              <w:t>12%</w:t>
            </w:r>
          </w:p>
        </w:tc>
        <w:tc>
          <w:tcPr>
            <w:tcW w:w="2126" w:type="dxa"/>
            <w:vAlign w:val="bottom"/>
          </w:tcPr>
          <w:p w14:paraId="3117ED8C" w14:textId="77777777" w:rsidR="009965DC" w:rsidRPr="004B659C" w:rsidRDefault="00030919" w:rsidP="00E04C27">
            <w:pPr>
              <w:rPr>
                <w:rFonts w:asciiTheme="majorHAnsi" w:hAnsiTheme="majorHAnsi"/>
                <w:sz w:val="20"/>
                <w:szCs w:val="20"/>
              </w:rPr>
            </w:pPr>
            <w:r>
              <w:rPr>
                <w:rFonts w:asciiTheme="majorHAnsi" w:hAnsiTheme="majorHAnsi"/>
                <w:sz w:val="20"/>
                <w:szCs w:val="20"/>
              </w:rPr>
              <w:t>I</w:t>
            </w:r>
            <w:r w:rsidR="009965DC" w:rsidRPr="004B659C">
              <w:rPr>
                <w:rFonts w:asciiTheme="majorHAnsi" w:hAnsiTheme="majorHAnsi"/>
                <w:sz w:val="20"/>
                <w:szCs w:val="20"/>
              </w:rPr>
              <w:t>ncreasing age, female sex, stainless steel material</w:t>
            </w:r>
          </w:p>
        </w:tc>
        <w:tc>
          <w:tcPr>
            <w:tcW w:w="2693" w:type="dxa"/>
            <w:vAlign w:val="bottom"/>
          </w:tcPr>
          <w:p w14:paraId="7E00D1F9" w14:textId="77777777" w:rsidR="009965DC" w:rsidRPr="004B659C" w:rsidRDefault="009965DC" w:rsidP="00E04C27">
            <w:pPr>
              <w:rPr>
                <w:rFonts w:asciiTheme="majorHAnsi" w:hAnsiTheme="majorHAnsi"/>
                <w:color w:val="000000"/>
                <w:sz w:val="20"/>
                <w:szCs w:val="20"/>
              </w:rPr>
            </w:pPr>
            <w:r w:rsidRPr="004B659C">
              <w:rPr>
                <w:rFonts w:asciiTheme="majorHAnsi" w:hAnsiTheme="majorHAnsi"/>
                <w:color w:val="000000"/>
                <w:sz w:val="20"/>
                <w:szCs w:val="20"/>
              </w:rPr>
              <w:t>no</w:t>
            </w:r>
          </w:p>
        </w:tc>
      </w:tr>
      <w:tr w:rsidR="004B659C" w:rsidRPr="004B659C" w14:paraId="6B23A55A" w14:textId="77777777" w:rsidTr="00291E7C">
        <w:tc>
          <w:tcPr>
            <w:tcW w:w="1255" w:type="dxa"/>
            <w:vAlign w:val="bottom"/>
          </w:tcPr>
          <w:p w14:paraId="69D449DF" w14:textId="77777777" w:rsidR="00FF50FF" w:rsidRPr="004B659C" w:rsidRDefault="00FF50FF">
            <w:pPr>
              <w:rPr>
                <w:rFonts w:asciiTheme="majorHAnsi" w:hAnsiTheme="majorHAnsi"/>
                <w:sz w:val="20"/>
                <w:szCs w:val="20"/>
              </w:rPr>
            </w:pPr>
            <w:r w:rsidRPr="004B659C">
              <w:rPr>
                <w:rFonts w:asciiTheme="majorHAnsi" w:hAnsiTheme="majorHAnsi"/>
                <w:sz w:val="20"/>
                <w:szCs w:val="20"/>
              </w:rPr>
              <w:t>Schmidt</w:t>
            </w:r>
          </w:p>
        </w:tc>
        <w:tc>
          <w:tcPr>
            <w:tcW w:w="2296" w:type="dxa"/>
            <w:vAlign w:val="bottom"/>
          </w:tcPr>
          <w:p w14:paraId="1022CD14" w14:textId="77777777" w:rsidR="00FF50FF" w:rsidRPr="004B659C" w:rsidRDefault="00FF50FF">
            <w:pPr>
              <w:rPr>
                <w:rFonts w:asciiTheme="majorHAnsi" w:hAnsiTheme="majorHAnsi"/>
                <w:sz w:val="20"/>
                <w:szCs w:val="20"/>
              </w:rPr>
            </w:pPr>
            <w:r w:rsidRPr="004B659C">
              <w:rPr>
                <w:rFonts w:asciiTheme="majorHAnsi" w:hAnsiTheme="majorHAnsi"/>
                <w:sz w:val="20"/>
                <w:szCs w:val="20"/>
              </w:rPr>
              <w:t>USA</w:t>
            </w:r>
            <w:r w:rsidR="009965DC">
              <w:rPr>
                <w:rFonts w:asciiTheme="majorHAnsi" w:hAnsiTheme="majorHAnsi"/>
                <w:sz w:val="20"/>
                <w:szCs w:val="20"/>
              </w:rPr>
              <w:t>/1</w:t>
            </w:r>
            <w:r w:rsidRPr="004B659C">
              <w:rPr>
                <w:rFonts w:asciiTheme="majorHAnsi" w:hAnsiTheme="majorHAnsi"/>
                <w:sz w:val="20"/>
                <w:szCs w:val="20"/>
              </w:rPr>
              <w:t>998</w:t>
            </w:r>
          </w:p>
        </w:tc>
        <w:tc>
          <w:tcPr>
            <w:tcW w:w="1519" w:type="dxa"/>
          </w:tcPr>
          <w:p w14:paraId="222227C6" w14:textId="77777777" w:rsidR="00FF50FF" w:rsidRPr="004B659C" w:rsidRDefault="00FF50FF" w:rsidP="00FF50FF">
            <w:pPr>
              <w:rPr>
                <w:rFonts w:asciiTheme="majorHAnsi" w:hAnsiTheme="majorHAnsi"/>
                <w:sz w:val="20"/>
                <w:szCs w:val="20"/>
              </w:rPr>
            </w:pPr>
            <w:r w:rsidRPr="004B659C">
              <w:rPr>
                <w:rFonts w:asciiTheme="majorHAnsi" w:hAnsiTheme="majorHAnsi"/>
                <w:sz w:val="20"/>
                <w:szCs w:val="20"/>
              </w:rPr>
              <w:t>Retrospective case review</w:t>
            </w:r>
          </w:p>
        </w:tc>
        <w:tc>
          <w:tcPr>
            <w:tcW w:w="1185" w:type="dxa"/>
            <w:vAlign w:val="bottom"/>
          </w:tcPr>
          <w:p w14:paraId="135C908D" w14:textId="77777777" w:rsidR="00FF50FF" w:rsidRPr="004B659C" w:rsidRDefault="00FF50FF">
            <w:pPr>
              <w:jc w:val="right"/>
              <w:rPr>
                <w:rFonts w:asciiTheme="majorHAnsi" w:hAnsiTheme="majorHAnsi"/>
                <w:sz w:val="20"/>
                <w:szCs w:val="20"/>
              </w:rPr>
            </w:pPr>
            <w:r w:rsidRPr="004B659C">
              <w:rPr>
                <w:rFonts w:asciiTheme="majorHAnsi" w:hAnsiTheme="majorHAnsi"/>
                <w:sz w:val="20"/>
                <w:szCs w:val="20"/>
              </w:rPr>
              <w:t>190</w:t>
            </w:r>
          </w:p>
        </w:tc>
        <w:tc>
          <w:tcPr>
            <w:tcW w:w="1933" w:type="dxa"/>
            <w:vAlign w:val="bottom"/>
          </w:tcPr>
          <w:p w14:paraId="61223ED9" w14:textId="77777777" w:rsidR="00FF50FF" w:rsidRPr="004B659C" w:rsidRDefault="00FF50FF" w:rsidP="00FF50FF">
            <w:pPr>
              <w:rPr>
                <w:rFonts w:asciiTheme="majorHAnsi" w:hAnsiTheme="majorHAnsi"/>
                <w:sz w:val="20"/>
                <w:szCs w:val="20"/>
              </w:rPr>
            </w:pPr>
            <w:r w:rsidRPr="004B659C">
              <w:rPr>
                <w:rFonts w:asciiTheme="majorHAnsi" w:hAnsiTheme="majorHAnsi"/>
                <w:sz w:val="20"/>
                <w:szCs w:val="20"/>
              </w:rPr>
              <w:t xml:space="preserve">Maxillary </w:t>
            </w:r>
          </w:p>
        </w:tc>
        <w:tc>
          <w:tcPr>
            <w:tcW w:w="1418" w:type="dxa"/>
            <w:vAlign w:val="bottom"/>
          </w:tcPr>
          <w:p w14:paraId="79D1EB90" w14:textId="77777777" w:rsidR="00FF50FF" w:rsidRPr="004B659C" w:rsidRDefault="00FF50FF">
            <w:pPr>
              <w:jc w:val="right"/>
              <w:rPr>
                <w:rFonts w:asciiTheme="majorHAnsi" w:hAnsiTheme="majorHAnsi"/>
                <w:color w:val="000000"/>
                <w:sz w:val="20"/>
                <w:szCs w:val="20"/>
              </w:rPr>
            </w:pPr>
            <w:r w:rsidRPr="004B659C">
              <w:rPr>
                <w:rFonts w:asciiTheme="majorHAnsi" w:hAnsiTheme="majorHAnsi"/>
                <w:color w:val="000000"/>
                <w:sz w:val="20"/>
                <w:szCs w:val="20"/>
              </w:rPr>
              <w:t>11.10%</w:t>
            </w:r>
          </w:p>
        </w:tc>
        <w:tc>
          <w:tcPr>
            <w:tcW w:w="2126" w:type="dxa"/>
            <w:vAlign w:val="bottom"/>
          </w:tcPr>
          <w:p w14:paraId="0546E043" w14:textId="77777777" w:rsidR="00FF50FF" w:rsidRPr="004B659C" w:rsidRDefault="00FF50FF">
            <w:pPr>
              <w:rPr>
                <w:rFonts w:asciiTheme="majorHAnsi" w:hAnsiTheme="majorHAnsi"/>
                <w:sz w:val="20"/>
                <w:szCs w:val="20"/>
              </w:rPr>
            </w:pPr>
            <w:r w:rsidRPr="004B659C">
              <w:rPr>
                <w:rFonts w:asciiTheme="majorHAnsi" w:hAnsiTheme="majorHAnsi"/>
                <w:sz w:val="20"/>
                <w:szCs w:val="20"/>
              </w:rPr>
              <w:t xml:space="preserve">Titanium </w:t>
            </w:r>
            <w:r w:rsidR="00030919">
              <w:rPr>
                <w:rFonts w:asciiTheme="majorHAnsi" w:hAnsiTheme="majorHAnsi"/>
                <w:sz w:val="20"/>
                <w:szCs w:val="20"/>
              </w:rPr>
              <w:t xml:space="preserve">plates removed more than </w:t>
            </w:r>
            <w:proofErr w:type="spellStart"/>
            <w:r w:rsidRPr="004B659C">
              <w:rPr>
                <w:rFonts w:asciiTheme="majorHAnsi" w:hAnsiTheme="majorHAnsi"/>
                <w:sz w:val="20"/>
                <w:szCs w:val="20"/>
              </w:rPr>
              <w:t>vitallium</w:t>
            </w:r>
            <w:proofErr w:type="spellEnd"/>
            <w:r w:rsidR="00030919">
              <w:rPr>
                <w:rFonts w:asciiTheme="majorHAnsi" w:hAnsiTheme="majorHAnsi"/>
                <w:sz w:val="20"/>
                <w:szCs w:val="20"/>
              </w:rPr>
              <w:t xml:space="preserve"> plates</w:t>
            </w:r>
          </w:p>
        </w:tc>
        <w:tc>
          <w:tcPr>
            <w:tcW w:w="2693" w:type="dxa"/>
            <w:vAlign w:val="bottom"/>
          </w:tcPr>
          <w:p w14:paraId="0B162204" w14:textId="77777777" w:rsidR="00FF50FF" w:rsidRPr="004B659C" w:rsidRDefault="00FF50FF">
            <w:pPr>
              <w:rPr>
                <w:rFonts w:asciiTheme="majorHAnsi" w:hAnsiTheme="majorHAnsi"/>
                <w:sz w:val="20"/>
                <w:szCs w:val="20"/>
              </w:rPr>
            </w:pPr>
            <w:r w:rsidRPr="004B659C">
              <w:rPr>
                <w:rFonts w:asciiTheme="majorHAnsi" w:hAnsiTheme="majorHAnsi"/>
                <w:sz w:val="20"/>
                <w:szCs w:val="20"/>
              </w:rPr>
              <w:t>no</w:t>
            </w:r>
          </w:p>
        </w:tc>
      </w:tr>
    </w:tbl>
    <w:p w14:paraId="518B6CD9" w14:textId="77777777" w:rsidR="004B659C" w:rsidRDefault="00030919">
      <w:pPr>
        <w:sectPr w:rsidR="004B659C" w:rsidSect="004B659C">
          <w:pgSz w:w="16840" w:h="11900" w:orient="landscape"/>
          <w:pgMar w:top="1800" w:right="1440" w:bottom="1800" w:left="1440" w:header="708" w:footer="708" w:gutter="0"/>
          <w:cols w:space="708"/>
          <w:docGrid w:linePitch="360"/>
        </w:sectPr>
      </w:pPr>
      <w:r>
        <w:t>Table 3</w:t>
      </w:r>
      <w:r w:rsidR="00C72767">
        <w:t xml:space="preserve">. </w:t>
      </w:r>
      <w:proofErr w:type="gramStart"/>
      <w:r w:rsidR="00C72767">
        <w:t>Results of s</w:t>
      </w:r>
      <w:r w:rsidR="003E0018">
        <w:t>ystematic r</w:t>
      </w:r>
      <w:r w:rsidR="004B659C">
        <w:t>eview of previous studies of plate removal in orthognathic surgery.</w:t>
      </w:r>
      <w:proofErr w:type="gramEnd"/>
      <w:r w:rsidR="004B659C">
        <w:t xml:space="preserve"> </w:t>
      </w:r>
    </w:p>
    <w:p w14:paraId="6CDBA41C" w14:textId="77777777" w:rsidR="00A66052" w:rsidRDefault="00030919">
      <w:r>
        <w:t>DISCUSSION</w:t>
      </w:r>
    </w:p>
    <w:p w14:paraId="4133B9DD" w14:textId="77777777" w:rsidR="00A66052" w:rsidRDefault="00A66052"/>
    <w:p w14:paraId="786E1824" w14:textId="2C31FE0D" w:rsidR="00F1539E" w:rsidRDefault="00A66052">
      <w:r>
        <w:t xml:space="preserve">Removal of metalwork following maxillofacial surgery is a common complication of </w:t>
      </w:r>
      <w:r w:rsidR="00F1539E">
        <w:t xml:space="preserve">maxillofacial </w:t>
      </w:r>
      <w:r>
        <w:t>surgery, and is carried out for a diverse range of reasons</w:t>
      </w:r>
      <w:r w:rsidR="00E81AD8">
        <w:t>.</w:t>
      </w:r>
      <w:r w:rsidR="00F1539E">
        <w:t xml:space="preserve"> However, removal of plates requires a general anaesthetic</w:t>
      </w:r>
      <w:r w:rsidR="00E81AD8">
        <w:t xml:space="preserve"> (or occasionally local)</w:t>
      </w:r>
      <w:r w:rsidR="00030919">
        <w:t>, an operating theatre time slot and all associated costs and risks</w:t>
      </w:r>
      <w:r w:rsidR="00F1539E">
        <w:t xml:space="preserve">. Therefore identification and modification of risk factors for plate removal could have a positive impact on patients. </w:t>
      </w:r>
    </w:p>
    <w:p w14:paraId="32A11A82" w14:textId="77777777" w:rsidR="00A151B8" w:rsidRDefault="00A151B8"/>
    <w:p w14:paraId="6982C9C3" w14:textId="16A4F289" w:rsidR="00A151B8" w:rsidRDefault="00A151B8">
      <w:r>
        <w:t>We carried out a retrospective review of cases of mandibular advancement</w:t>
      </w:r>
      <w:r w:rsidR="004B659C">
        <w:t>s</w:t>
      </w:r>
      <w:r w:rsidR="002B2C85">
        <w:t xml:space="preserve"> and setbacks</w:t>
      </w:r>
      <w:r>
        <w:t xml:space="preserve">, to </w:t>
      </w:r>
      <w:r w:rsidR="00030919">
        <w:t>determine</w:t>
      </w:r>
      <w:r>
        <w:t xml:space="preserve"> whether increased size of advancement</w:t>
      </w:r>
      <w:r w:rsidR="002B2C85">
        <w:t xml:space="preserve"> or setback</w:t>
      </w:r>
      <w:r>
        <w:t xml:space="preserve"> was a risk factor for subsequent plate removal</w:t>
      </w:r>
      <w:r w:rsidR="003E0018">
        <w:t>, and a systematic review of current literature</w:t>
      </w:r>
      <w:r>
        <w:t xml:space="preserve">. </w:t>
      </w:r>
      <w:r w:rsidR="00C400C4">
        <w:t>Analysis of our results showed that there was not a significant correlation between increasing size of advancement</w:t>
      </w:r>
      <w:r w:rsidR="002B2C85">
        <w:t xml:space="preserve"> or setback</w:t>
      </w:r>
      <w:r w:rsidR="00C400C4">
        <w:t xml:space="preserve"> and subsequent plate removal</w:t>
      </w:r>
      <w:r w:rsidR="00381C03">
        <w:t>.</w:t>
      </w:r>
      <w:r w:rsidR="00C400C4">
        <w:t xml:space="preserve"> </w:t>
      </w:r>
    </w:p>
    <w:p w14:paraId="59832431" w14:textId="77777777" w:rsidR="00F1539E" w:rsidRDefault="00F1539E"/>
    <w:p w14:paraId="17104A4A" w14:textId="77777777" w:rsidR="002A2C9C" w:rsidRDefault="00AF7FAC">
      <w:r>
        <w:t>Plate removal following facial trauma has received more attention than that carried out after orthognathic surgery, but many of the same risk factors are likely t</w:t>
      </w:r>
      <w:r w:rsidR="008E74A8">
        <w:t>o apply. Procedures carried out on the mandible are known to have a higher risk of complication</w:t>
      </w:r>
      <w:r w:rsidR="002A2C9C">
        <w:t xml:space="preserve"> than those carried out in the maxilla</w:t>
      </w:r>
      <w:r w:rsidR="00030919">
        <w:t>,</w:t>
      </w:r>
      <w:r w:rsidR="008E74A8">
        <w:t xml:space="preserve"> specifically infection</w:t>
      </w:r>
      <w:r w:rsidR="00030919">
        <w:t xml:space="preserve"> (Chow 2007)</w:t>
      </w:r>
      <w:r w:rsidR="008E74A8">
        <w:t>.</w:t>
      </w:r>
      <w:r w:rsidR="002A2C9C">
        <w:t xml:space="preserve"> This is likely to be primarily an anatomical issues, with saliva pooling in the mandibular labial sulcus and floor of mouth, introducing oral flora to these wounds.</w:t>
      </w:r>
      <w:r w:rsidR="008E74A8">
        <w:t xml:space="preserve"> </w:t>
      </w:r>
    </w:p>
    <w:p w14:paraId="66FEAE3B" w14:textId="77777777" w:rsidR="002A2C9C" w:rsidRDefault="002A2C9C"/>
    <w:p w14:paraId="536EF3DC" w14:textId="56E84B5C" w:rsidR="002A2C9C" w:rsidRDefault="008E74A8">
      <w:r>
        <w:t>Smoking has been identified as a potential</w:t>
      </w:r>
      <w:r w:rsidR="00030919">
        <w:t xml:space="preserve"> risk</w:t>
      </w:r>
      <w:r>
        <w:t xml:space="preserve"> factor, though significance has not </w:t>
      </w:r>
      <w:r w:rsidR="004B659C">
        <w:t>been</w:t>
      </w:r>
      <w:r>
        <w:t xml:space="preserve"> shown in some studies (</w:t>
      </w:r>
      <w:proofErr w:type="spellStart"/>
      <w:r w:rsidR="0064257B">
        <w:t>Widehar</w:t>
      </w:r>
      <w:proofErr w:type="spellEnd"/>
      <w:r w:rsidR="0064257B">
        <w:t xml:space="preserve"> 2017, </w:t>
      </w:r>
      <w:proofErr w:type="spellStart"/>
      <w:r w:rsidR="0064257B">
        <w:t>Kuhlefelt</w:t>
      </w:r>
      <w:proofErr w:type="spellEnd"/>
      <w:r w:rsidR="0064257B">
        <w:t xml:space="preserve"> 2010</w:t>
      </w:r>
      <w:r>
        <w:t xml:space="preserve">). </w:t>
      </w:r>
      <w:r w:rsidR="002A2C9C">
        <w:t xml:space="preserve">Cigarette smoking was studied as binary factor in all studies, partly due to patient’s poor recollection of number of cigarettes smoked, but also to establish statistical significance. </w:t>
      </w:r>
      <w:r w:rsidR="00620B58">
        <w:t>In our study, smoking status was not recorded due to data availability issues.</w:t>
      </w:r>
    </w:p>
    <w:p w14:paraId="628E245F" w14:textId="77777777" w:rsidR="002A2C9C" w:rsidRDefault="002A2C9C"/>
    <w:p w14:paraId="02164E78" w14:textId="1BCDBCD5" w:rsidR="00A66052" w:rsidRDefault="008E74A8">
      <w:r>
        <w:t>Sex is a risk factor for subsequent plate removal in some studies, though this was not the case in our cohort</w:t>
      </w:r>
      <w:r w:rsidR="0064257B">
        <w:t xml:space="preserve"> (Bart 2011).</w:t>
      </w:r>
      <w:r w:rsidR="004B659C">
        <w:t xml:space="preserve"> </w:t>
      </w:r>
      <w:r w:rsidR="00A2056B">
        <w:t>A</w:t>
      </w:r>
      <w:r w:rsidR="003E0018">
        <w:t xml:space="preserve">ge </w:t>
      </w:r>
      <w:r w:rsidR="00D10C09">
        <w:t xml:space="preserve">at time of surgery </w:t>
      </w:r>
      <w:r w:rsidR="003E0018">
        <w:t>was shown to be a significant risk factor in our cohort, and also in previous studies identified</w:t>
      </w:r>
      <w:r w:rsidR="00D10C09">
        <w:t xml:space="preserve"> (</w:t>
      </w:r>
      <w:proofErr w:type="spellStart"/>
      <w:r w:rsidR="00D10C09">
        <w:t>Theodossy</w:t>
      </w:r>
      <w:proofErr w:type="spellEnd"/>
      <w:r w:rsidR="00D10C09">
        <w:t xml:space="preserve"> 2006, Manor 1999, Bhatt 2005)</w:t>
      </w:r>
      <w:r w:rsidR="003E0018">
        <w:t>. Possible reasons for this include difference in younger patients having improved tissue healing which allows incorporation of the plate more easi</w:t>
      </w:r>
      <w:r w:rsidR="00D10C09">
        <w:t xml:space="preserve">ly, with older tissues being more likely to break down and cause dehiscence. </w:t>
      </w:r>
      <w:r w:rsidR="009965DC">
        <w:t>All risk factors and previous studies iden</w:t>
      </w:r>
      <w:r w:rsidR="00030919">
        <w:t>tified are summarised in table 3</w:t>
      </w:r>
      <w:r w:rsidR="009965DC">
        <w:t>.</w:t>
      </w:r>
    </w:p>
    <w:p w14:paraId="2CCD1209" w14:textId="77777777" w:rsidR="00A66052" w:rsidRDefault="00A66052"/>
    <w:p w14:paraId="52399ED7" w14:textId="17C0F300" w:rsidR="00291E7C" w:rsidRPr="00291E7C" w:rsidRDefault="00291E7C">
      <w:r>
        <w:t xml:space="preserve">Three studies also </w:t>
      </w:r>
      <w:r w:rsidRPr="00291E7C">
        <w:t>addressed the direction of movement (advance or setback), though none showed that this was a risk factor for subsequent plate removal (</w:t>
      </w:r>
      <w:proofErr w:type="spellStart"/>
      <w:r w:rsidRPr="00291E7C">
        <w:t>Kuhlefelt</w:t>
      </w:r>
      <w:proofErr w:type="spellEnd"/>
      <w:r w:rsidRPr="00291E7C">
        <w:t xml:space="preserve"> 2010, Alpha 2006, </w:t>
      </w:r>
      <w:proofErr w:type="spellStart"/>
      <w:r w:rsidRPr="00291E7C">
        <w:t>Theodossy</w:t>
      </w:r>
      <w:proofErr w:type="spellEnd"/>
      <w:r w:rsidRPr="00291E7C">
        <w:t xml:space="preserve"> 2006). </w:t>
      </w:r>
      <w:r w:rsidR="00A2056B">
        <w:t>None</w:t>
      </w:r>
      <w:r>
        <w:t xml:space="preserve"> of the studies addressed magnitude of advancement, which we have done.</w:t>
      </w:r>
      <w:r w:rsidR="00C72767">
        <w:t xml:space="preserve"> </w:t>
      </w:r>
    </w:p>
    <w:p w14:paraId="078F7819" w14:textId="77777777" w:rsidR="00291E7C" w:rsidRDefault="00291E7C"/>
    <w:p w14:paraId="25FF1054" w14:textId="374B1678" w:rsidR="002E49F8" w:rsidRDefault="009965DC">
      <w:r>
        <w:t xml:space="preserve">Limitations of this </w:t>
      </w:r>
      <w:r w:rsidR="002E49F8">
        <w:t xml:space="preserve">study included the </w:t>
      </w:r>
      <w:r w:rsidR="00A2056B">
        <w:t xml:space="preserve">limited sample </w:t>
      </w:r>
      <w:r w:rsidR="002E49F8">
        <w:t>size</w:t>
      </w:r>
      <w:r w:rsidR="00030919">
        <w:t xml:space="preserve">, and </w:t>
      </w:r>
      <w:r w:rsidR="00A2056B">
        <w:t xml:space="preserve">also </w:t>
      </w:r>
      <w:r w:rsidR="00030919">
        <w:t>methodology of measuring model surgeries</w:t>
      </w:r>
      <w:r w:rsidR="002E49F8">
        <w:t xml:space="preserve">. The planned time period chosen for our study had to be altered because the clinic letters used to confirm type of surgery were unavailable before 2011. Therefore only six complete years of data were gathered, resulting in 216 orthognathic surgery patients. A centre dealing with higher volumes of orthognathic surgery might have access to a larger volume of cases. </w:t>
      </w:r>
    </w:p>
    <w:p w14:paraId="452237AA" w14:textId="77777777" w:rsidR="002E49F8" w:rsidRDefault="002E49F8"/>
    <w:p w14:paraId="4CBE43BB" w14:textId="21525D0A" w:rsidR="003001C7" w:rsidRDefault="00030919">
      <w:r>
        <w:t>Measurement of the model surgeries</w:t>
      </w:r>
      <w:r w:rsidR="002E49F8">
        <w:t xml:space="preserve"> was challenging</w:t>
      </w:r>
      <w:r w:rsidR="0064257B">
        <w:t>. I</w:t>
      </w:r>
      <w:r w:rsidR="002E49F8">
        <w:t>nformation contained with the plaster model</w:t>
      </w:r>
      <w:r w:rsidR="0064257B">
        <w:t>s</w:t>
      </w:r>
      <w:r w:rsidR="002E49F8">
        <w:t xml:space="preserve"> was inconsistent, with some models having a prescription sheet, some models having movements noted on the models, and others having no information aside from the plastic splints used during surgery</w:t>
      </w:r>
      <w:r w:rsidR="005920C4">
        <w:t>. This introduced potential measurement error when determining size of movements, though this was minimised</w:t>
      </w:r>
      <w:r w:rsidR="00423A3C">
        <w:t xml:space="preserve"> by having only one </w:t>
      </w:r>
      <w:proofErr w:type="spellStart"/>
      <w:r w:rsidR="00423A3C">
        <w:t>rater</w:t>
      </w:r>
      <w:proofErr w:type="spellEnd"/>
      <w:r w:rsidR="00423A3C">
        <w:t>. U</w:t>
      </w:r>
      <w:r w:rsidR="003001C7">
        <w:t>se of surgical planning software and virtual model surgery should mean that in the future this process is no longer necessary</w:t>
      </w:r>
      <w:r w:rsidR="00AC5A1B">
        <w:t>, and auditing the si</w:t>
      </w:r>
      <w:r w:rsidR="003001C7">
        <w:t xml:space="preserve">ze of movements </w:t>
      </w:r>
      <w:r w:rsidR="00AC5A1B">
        <w:t>could be done much more easily.</w:t>
      </w:r>
    </w:p>
    <w:p w14:paraId="3A394802" w14:textId="77777777" w:rsidR="003001C7" w:rsidRDefault="003001C7"/>
    <w:p w14:paraId="428C3DDB" w14:textId="77777777" w:rsidR="00030919" w:rsidRDefault="00030919">
      <w:r>
        <w:t>CONCLUSIONS</w:t>
      </w:r>
    </w:p>
    <w:p w14:paraId="192DDF31" w14:textId="77777777" w:rsidR="00030919" w:rsidRDefault="00030919"/>
    <w:p w14:paraId="0FD80C1B" w14:textId="64EAE42D" w:rsidR="0064257B" w:rsidRDefault="00077055">
      <w:r>
        <w:t xml:space="preserve">Our analysis suggested that size </w:t>
      </w:r>
      <w:r w:rsidR="00423A3C">
        <w:t xml:space="preserve">and direction </w:t>
      </w:r>
      <w:r>
        <w:t xml:space="preserve">of mandibular advancement is not a risk factor for subsequent plate removal. This result is reassuring for treatment of </w:t>
      </w:r>
      <w:r w:rsidR="00423A3C">
        <w:t xml:space="preserve">patients with very </w:t>
      </w:r>
      <w:proofErr w:type="spellStart"/>
      <w:r w:rsidR="00423A3C">
        <w:t>retrusive</w:t>
      </w:r>
      <w:proofErr w:type="spellEnd"/>
      <w:r w:rsidR="00423A3C">
        <w:t xml:space="preserve"> mandibles</w:t>
      </w:r>
      <w:r>
        <w:t xml:space="preserve"> who require </w:t>
      </w:r>
      <w:r w:rsidR="00423A3C">
        <w:t>larger advancements</w:t>
      </w:r>
      <w:r>
        <w:t xml:space="preserve">. </w:t>
      </w:r>
    </w:p>
    <w:p w14:paraId="6E552F36" w14:textId="77777777" w:rsidR="003001C7" w:rsidRPr="00E65F4F" w:rsidRDefault="003001C7"/>
    <w:p w14:paraId="55012ECA" w14:textId="77777777" w:rsidR="001B13B9" w:rsidRDefault="001B13B9"/>
    <w:p w14:paraId="296CE51C" w14:textId="77777777" w:rsidR="000E02C3" w:rsidRPr="00E65F4F" w:rsidRDefault="00291E7C">
      <w:r>
        <w:t>REFERENCES</w:t>
      </w:r>
    </w:p>
    <w:p w14:paraId="519E21F6" w14:textId="77777777" w:rsidR="00BB62AC" w:rsidRPr="00291E7C" w:rsidRDefault="00BB62AC"/>
    <w:p w14:paraId="3A89BC73" w14:textId="77777777" w:rsidR="005C3FBE" w:rsidRPr="00291E7C" w:rsidRDefault="005C3FBE" w:rsidP="005C3FBE">
      <w:pPr>
        <w:rPr>
          <w:rFonts w:eastAsia="Times New Roman" w:cs="Times New Roman"/>
          <w:color w:val="000000" w:themeColor="text1"/>
        </w:rPr>
      </w:pPr>
      <w:proofErr w:type="spellStart"/>
      <w:r w:rsidRPr="00291E7C">
        <w:rPr>
          <w:rFonts w:eastAsia="Times New Roman" w:cs="Arial"/>
          <w:color w:val="000000" w:themeColor="text1"/>
          <w:shd w:val="clear" w:color="auto" w:fill="FFFFFF"/>
        </w:rPr>
        <w:t>Gilardino</w:t>
      </w:r>
      <w:proofErr w:type="spellEnd"/>
      <w:r w:rsidRPr="00291E7C">
        <w:rPr>
          <w:rFonts w:eastAsia="Times New Roman" w:cs="Arial"/>
          <w:color w:val="000000" w:themeColor="text1"/>
          <w:shd w:val="clear" w:color="auto" w:fill="FFFFFF"/>
        </w:rPr>
        <w:t xml:space="preserve"> MS, Chen E, Bartlett SP. Choice of Internal Rigid Fixation Materials in the Treatment of Facial Fractures. </w:t>
      </w:r>
      <w:proofErr w:type="spellStart"/>
      <w:r w:rsidRPr="00291E7C">
        <w:rPr>
          <w:rFonts w:eastAsia="Times New Roman" w:cs="Arial"/>
          <w:iCs/>
          <w:color w:val="000000" w:themeColor="text1"/>
          <w:shd w:val="clear" w:color="auto" w:fill="FFFFFF"/>
        </w:rPr>
        <w:t>Craniomaxillofacial</w:t>
      </w:r>
      <w:proofErr w:type="spellEnd"/>
      <w:r w:rsidRPr="00291E7C">
        <w:rPr>
          <w:rFonts w:eastAsia="Times New Roman" w:cs="Arial"/>
          <w:iCs/>
          <w:color w:val="000000" w:themeColor="text1"/>
          <w:shd w:val="clear" w:color="auto" w:fill="FFFFFF"/>
        </w:rPr>
        <w:t xml:space="preserve"> Trauma &amp; Reconstruction</w:t>
      </w:r>
      <w:r w:rsidRPr="00291E7C">
        <w:rPr>
          <w:rFonts w:eastAsia="Times New Roman" w:cs="Arial"/>
          <w:color w:val="000000" w:themeColor="text1"/>
          <w:shd w:val="clear" w:color="auto" w:fill="FFFFFF"/>
        </w:rPr>
        <w:t>. 2009</w:t>
      </w:r>
      <w:proofErr w:type="gramStart"/>
      <w:r w:rsidRPr="00291E7C">
        <w:rPr>
          <w:rFonts w:eastAsia="Times New Roman" w:cs="Arial"/>
          <w:color w:val="000000" w:themeColor="text1"/>
          <w:shd w:val="clear" w:color="auto" w:fill="FFFFFF"/>
        </w:rPr>
        <w:t>;2</w:t>
      </w:r>
      <w:proofErr w:type="gramEnd"/>
      <w:r w:rsidRPr="00291E7C">
        <w:rPr>
          <w:rFonts w:eastAsia="Times New Roman" w:cs="Arial"/>
          <w:color w:val="000000" w:themeColor="text1"/>
          <w:shd w:val="clear" w:color="auto" w:fill="FFFFFF"/>
        </w:rPr>
        <w:t xml:space="preserve">(1):49-60. </w:t>
      </w:r>
      <w:proofErr w:type="gramStart"/>
      <w:r w:rsidRPr="00291E7C">
        <w:rPr>
          <w:rFonts w:eastAsia="Times New Roman" w:cs="Arial"/>
          <w:color w:val="000000" w:themeColor="text1"/>
          <w:shd w:val="clear" w:color="auto" w:fill="FFFFFF"/>
        </w:rPr>
        <w:t>doi:10.1055</w:t>
      </w:r>
      <w:proofErr w:type="gramEnd"/>
      <w:r w:rsidRPr="00291E7C">
        <w:rPr>
          <w:rFonts w:eastAsia="Times New Roman" w:cs="Arial"/>
          <w:color w:val="000000" w:themeColor="text1"/>
          <w:shd w:val="clear" w:color="auto" w:fill="FFFFFF"/>
        </w:rPr>
        <w:t>/s-0029-1202591.</w:t>
      </w:r>
    </w:p>
    <w:p w14:paraId="510F58B3" w14:textId="77777777" w:rsidR="00BB62AC" w:rsidRPr="00291E7C" w:rsidRDefault="00BB62AC">
      <w:pPr>
        <w:rPr>
          <w:color w:val="000000" w:themeColor="text1"/>
        </w:rPr>
      </w:pPr>
    </w:p>
    <w:p w14:paraId="54CAAB76" w14:textId="77777777" w:rsidR="009B2A11" w:rsidRPr="00291E7C" w:rsidRDefault="009B2A11" w:rsidP="009B2A11">
      <w:pPr>
        <w:rPr>
          <w:rFonts w:eastAsia="Times New Roman" w:cs="Times New Roman"/>
          <w:color w:val="000000" w:themeColor="text1"/>
        </w:rPr>
      </w:pPr>
      <w:r w:rsidRPr="00291E7C">
        <w:rPr>
          <w:rFonts w:eastAsia="Times New Roman" w:cs="Arial"/>
          <w:color w:val="000000" w:themeColor="text1"/>
          <w:shd w:val="clear" w:color="auto" w:fill="FFFFFF"/>
        </w:rPr>
        <w:t xml:space="preserve">Matthew IR, Frame JW: Policy of consultant oral &amp; maxillofacial surgeons towards removal of </w:t>
      </w:r>
      <w:proofErr w:type="spellStart"/>
      <w:r w:rsidRPr="00291E7C">
        <w:rPr>
          <w:rFonts w:eastAsia="Times New Roman" w:cs="Arial"/>
          <w:color w:val="000000" w:themeColor="text1"/>
          <w:shd w:val="clear" w:color="auto" w:fill="FFFFFF"/>
        </w:rPr>
        <w:t>miniplate</w:t>
      </w:r>
      <w:proofErr w:type="spellEnd"/>
      <w:r w:rsidRPr="00291E7C">
        <w:rPr>
          <w:rFonts w:eastAsia="Times New Roman" w:cs="Arial"/>
          <w:color w:val="000000" w:themeColor="text1"/>
          <w:shd w:val="clear" w:color="auto" w:fill="FFFFFF"/>
        </w:rPr>
        <w:t xml:space="preserve"> components after jaw fracture fixation–A pilot study. Br J Oral </w:t>
      </w:r>
      <w:proofErr w:type="spellStart"/>
      <w:r w:rsidRPr="00291E7C">
        <w:rPr>
          <w:rFonts w:eastAsia="Times New Roman" w:cs="Arial"/>
          <w:color w:val="000000" w:themeColor="text1"/>
          <w:shd w:val="clear" w:color="auto" w:fill="FFFFFF"/>
        </w:rPr>
        <w:t>Maxillofac</w:t>
      </w:r>
      <w:proofErr w:type="spellEnd"/>
      <w:r w:rsidRPr="00291E7C">
        <w:rPr>
          <w:rFonts w:eastAsia="Times New Roman" w:cs="Arial"/>
          <w:color w:val="000000" w:themeColor="text1"/>
          <w:shd w:val="clear" w:color="auto" w:fill="FFFFFF"/>
        </w:rPr>
        <w:t xml:space="preserve"> </w:t>
      </w:r>
      <w:proofErr w:type="spellStart"/>
      <w:r w:rsidRPr="00291E7C">
        <w:rPr>
          <w:rFonts w:eastAsia="Times New Roman" w:cs="Arial"/>
          <w:color w:val="000000" w:themeColor="text1"/>
          <w:shd w:val="clear" w:color="auto" w:fill="FFFFFF"/>
        </w:rPr>
        <w:t>Surg</w:t>
      </w:r>
      <w:proofErr w:type="spellEnd"/>
      <w:r w:rsidRPr="00291E7C">
        <w:rPr>
          <w:rFonts w:eastAsia="Times New Roman" w:cs="Arial"/>
          <w:color w:val="000000" w:themeColor="text1"/>
          <w:shd w:val="clear" w:color="auto" w:fill="FFFFFF"/>
        </w:rPr>
        <w:t xml:space="preserve"> 37: 110, 1999.</w:t>
      </w:r>
    </w:p>
    <w:p w14:paraId="7E209EF0" w14:textId="77777777" w:rsidR="009B2A11" w:rsidRPr="00291E7C" w:rsidRDefault="009B2A11">
      <w:pPr>
        <w:rPr>
          <w:color w:val="000000" w:themeColor="text1"/>
        </w:rPr>
      </w:pPr>
    </w:p>
    <w:p w14:paraId="447E4B8F" w14:textId="77777777" w:rsidR="00900EEB" w:rsidRPr="00291E7C" w:rsidRDefault="00900EEB" w:rsidP="00900EEB">
      <w:pPr>
        <w:rPr>
          <w:rFonts w:eastAsia="Times New Roman" w:cs="Arial"/>
          <w:color w:val="000000" w:themeColor="text1"/>
          <w:shd w:val="clear" w:color="auto" w:fill="FFFFFF"/>
        </w:rPr>
      </w:pPr>
      <w:r w:rsidRPr="00291E7C">
        <w:rPr>
          <w:rFonts w:eastAsia="Times New Roman" w:cs="Arial"/>
          <w:color w:val="000000" w:themeColor="text1"/>
          <w:shd w:val="clear" w:color="auto" w:fill="FFFFFF"/>
        </w:rPr>
        <w:t xml:space="preserve">Bailey LJ, </w:t>
      </w:r>
      <w:proofErr w:type="spellStart"/>
      <w:r w:rsidRPr="00291E7C">
        <w:rPr>
          <w:rFonts w:eastAsia="Times New Roman" w:cs="Arial"/>
          <w:color w:val="000000" w:themeColor="text1"/>
          <w:shd w:val="clear" w:color="auto" w:fill="FFFFFF"/>
        </w:rPr>
        <w:t>Cevidanes</w:t>
      </w:r>
      <w:proofErr w:type="spellEnd"/>
      <w:r w:rsidRPr="00291E7C">
        <w:rPr>
          <w:rFonts w:eastAsia="Times New Roman" w:cs="Arial"/>
          <w:color w:val="000000" w:themeColor="text1"/>
          <w:shd w:val="clear" w:color="auto" w:fill="FFFFFF"/>
        </w:rPr>
        <w:t xml:space="preserve"> LHS, </w:t>
      </w:r>
      <w:proofErr w:type="spellStart"/>
      <w:r w:rsidRPr="00291E7C">
        <w:rPr>
          <w:rFonts w:eastAsia="Times New Roman" w:cs="Arial"/>
          <w:color w:val="000000" w:themeColor="text1"/>
          <w:shd w:val="clear" w:color="auto" w:fill="FFFFFF"/>
        </w:rPr>
        <w:t>Proffit</w:t>
      </w:r>
      <w:proofErr w:type="spellEnd"/>
      <w:r w:rsidRPr="00291E7C">
        <w:rPr>
          <w:rFonts w:eastAsia="Times New Roman" w:cs="Arial"/>
          <w:color w:val="000000" w:themeColor="text1"/>
          <w:shd w:val="clear" w:color="auto" w:fill="FFFFFF"/>
        </w:rPr>
        <w:t xml:space="preserve"> WR. Stability and predictability of orthognathic surgery. </w:t>
      </w:r>
      <w:r w:rsidRPr="00291E7C">
        <w:rPr>
          <w:rFonts w:eastAsia="Times New Roman" w:cs="Arial"/>
          <w:iCs/>
          <w:color w:val="000000" w:themeColor="text1"/>
          <w:shd w:val="clear" w:color="auto" w:fill="FFFFFF"/>
        </w:rPr>
        <w:t xml:space="preserve">American journal of orthodontics and </w:t>
      </w:r>
      <w:proofErr w:type="spellStart"/>
      <w:r w:rsidRPr="00291E7C">
        <w:rPr>
          <w:rFonts w:eastAsia="Times New Roman" w:cs="Arial"/>
          <w:iCs/>
          <w:color w:val="000000" w:themeColor="text1"/>
          <w:shd w:val="clear" w:color="auto" w:fill="FFFFFF"/>
        </w:rPr>
        <w:t>dentofacial</w:t>
      </w:r>
      <w:proofErr w:type="spellEnd"/>
      <w:r w:rsidRPr="00291E7C">
        <w:rPr>
          <w:rFonts w:eastAsia="Times New Roman" w:cs="Arial"/>
          <w:iCs/>
          <w:color w:val="000000" w:themeColor="text1"/>
          <w:shd w:val="clear" w:color="auto" w:fill="FFFFFF"/>
        </w:rPr>
        <w:t xml:space="preserve"> </w:t>
      </w:r>
      <w:proofErr w:type="spellStart"/>
      <w:r w:rsidRPr="00291E7C">
        <w:rPr>
          <w:rFonts w:eastAsia="Times New Roman" w:cs="Arial"/>
          <w:iCs/>
          <w:color w:val="000000" w:themeColor="text1"/>
          <w:shd w:val="clear" w:color="auto" w:fill="FFFFFF"/>
        </w:rPr>
        <w:t>orthopedics</w:t>
      </w:r>
      <w:proofErr w:type="spellEnd"/>
      <w:r w:rsidRPr="00291E7C">
        <w:rPr>
          <w:rFonts w:eastAsia="Times New Roman" w:cs="Arial"/>
          <w:iCs/>
          <w:color w:val="000000" w:themeColor="text1"/>
          <w:shd w:val="clear" w:color="auto" w:fill="FFFFFF"/>
        </w:rPr>
        <w:t> : official publication of the American Association of Orthodontists, its constituent societies, and the American Board of Orthodontics</w:t>
      </w:r>
      <w:r w:rsidRPr="00291E7C">
        <w:rPr>
          <w:rFonts w:eastAsia="Times New Roman" w:cs="Arial"/>
          <w:color w:val="000000" w:themeColor="text1"/>
          <w:shd w:val="clear" w:color="auto" w:fill="FFFFFF"/>
        </w:rPr>
        <w:t>. 2004</w:t>
      </w:r>
      <w:proofErr w:type="gramStart"/>
      <w:r w:rsidRPr="00291E7C">
        <w:rPr>
          <w:rFonts w:eastAsia="Times New Roman" w:cs="Arial"/>
          <w:color w:val="000000" w:themeColor="text1"/>
          <w:shd w:val="clear" w:color="auto" w:fill="FFFFFF"/>
        </w:rPr>
        <w:t>;126</w:t>
      </w:r>
      <w:proofErr w:type="gramEnd"/>
      <w:r w:rsidRPr="00291E7C">
        <w:rPr>
          <w:rFonts w:eastAsia="Times New Roman" w:cs="Arial"/>
          <w:color w:val="000000" w:themeColor="text1"/>
          <w:shd w:val="clear" w:color="auto" w:fill="FFFFFF"/>
        </w:rPr>
        <w:t xml:space="preserve">(3):273-277. </w:t>
      </w:r>
      <w:proofErr w:type="gramStart"/>
      <w:r w:rsidRPr="00291E7C">
        <w:rPr>
          <w:rFonts w:eastAsia="Times New Roman" w:cs="Arial"/>
          <w:color w:val="000000" w:themeColor="text1"/>
          <w:shd w:val="clear" w:color="auto" w:fill="FFFFFF"/>
        </w:rPr>
        <w:t>doi:10.1016</w:t>
      </w:r>
      <w:proofErr w:type="gramEnd"/>
      <w:r w:rsidRPr="00291E7C">
        <w:rPr>
          <w:rFonts w:eastAsia="Times New Roman" w:cs="Arial"/>
          <w:color w:val="000000" w:themeColor="text1"/>
          <w:shd w:val="clear" w:color="auto" w:fill="FFFFFF"/>
        </w:rPr>
        <w:t>/S0889540604005207.</w:t>
      </w:r>
    </w:p>
    <w:p w14:paraId="3C2575DB" w14:textId="77777777" w:rsidR="00444857" w:rsidRPr="00291E7C" w:rsidRDefault="00444857" w:rsidP="00444857">
      <w:pPr>
        <w:rPr>
          <w:rFonts w:eastAsia="Times New Roman" w:cs="Times New Roman"/>
          <w:color w:val="000000" w:themeColor="text1"/>
          <w:lang w:eastAsia="en-GB"/>
        </w:rPr>
      </w:pPr>
    </w:p>
    <w:p w14:paraId="04272249" w14:textId="77777777" w:rsidR="00744B7D" w:rsidRDefault="007851BD" w:rsidP="002A2C9C">
      <w:pPr>
        <w:shd w:val="clear" w:color="auto" w:fill="FFFFFF"/>
        <w:rPr>
          <w:rFonts w:cs="Arial"/>
          <w:color w:val="000000" w:themeColor="text1"/>
        </w:rPr>
      </w:pPr>
      <w:hyperlink r:id="rId7" w:history="1">
        <w:proofErr w:type="gramStart"/>
        <w:r w:rsidR="00744B7D" w:rsidRPr="00291E7C">
          <w:rPr>
            <w:rStyle w:val="Hyperlink"/>
            <w:rFonts w:cs="Arial"/>
            <w:color w:val="000000" w:themeColor="text1"/>
            <w:u w:val="none"/>
          </w:rPr>
          <w:t>Alpha C</w:t>
        </w:r>
      </w:hyperlink>
      <w:r w:rsidR="00744B7D" w:rsidRPr="00291E7C">
        <w:rPr>
          <w:rFonts w:cs="Arial"/>
          <w:color w:val="000000" w:themeColor="text1"/>
        </w:rPr>
        <w:t>, </w:t>
      </w:r>
      <w:hyperlink r:id="rId8" w:history="1">
        <w:proofErr w:type="spellStart"/>
        <w:r w:rsidR="00744B7D" w:rsidRPr="00291E7C">
          <w:rPr>
            <w:rStyle w:val="Hyperlink"/>
            <w:rFonts w:cs="Arial"/>
            <w:color w:val="000000" w:themeColor="text1"/>
            <w:u w:val="none"/>
          </w:rPr>
          <w:t>O'Ryan</w:t>
        </w:r>
        <w:proofErr w:type="spellEnd"/>
        <w:r w:rsidR="00744B7D" w:rsidRPr="00291E7C">
          <w:rPr>
            <w:rStyle w:val="Hyperlink"/>
            <w:rFonts w:cs="Arial"/>
            <w:color w:val="000000" w:themeColor="text1"/>
            <w:u w:val="none"/>
          </w:rPr>
          <w:t xml:space="preserve"> F</w:t>
        </w:r>
      </w:hyperlink>
      <w:r w:rsidR="00744B7D" w:rsidRPr="00291E7C">
        <w:rPr>
          <w:rFonts w:cs="Arial"/>
          <w:color w:val="000000" w:themeColor="text1"/>
        </w:rPr>
        <w:t>, </w:t>
      </w:r>
      <w:hyperlink r:id="rId9" w:history="1">
        <w:r w:rsidR="00744B7D" w:rsidRPr="00291E7C">
          <w:rPr>
            <w:rStyle w:val="Hyperlink"/>
            <w:rFonts w:cs="Arial"/>
            <w:color w:val="000000" w:themeColor="text1"/>
            <w:u w:val="none"/>
          </w:rPr>
          <w:t>Silva A</w:t>
        </w:r>
      </w:hyperlink>
      <w:r w:rsidR="00744B7D" w:rsidRPr="00291E7C">
        <w:rPr>
          <w:rFonts w:cs="Arial"/>
          <w:color w:val="000000" w:themeColor="text1"/>
        </w:rPr>
        <w:t>, </w:t>
      </w:r>
      <w:hyperlink r:id="rId10" w:history="1">
        <w:r w:rsidR="00744B7D" w:rsidRPr="00291E7C">
          <w:rPr>
            <w:rStyle w:val="Hyperlink"/>
            <w:rFonts w:cs="Arial"/>
            <w:color w:val="000000" w:themeColor="text1"/>
            <w:u w:val="none"/>
          </w:rPr>
          <w:t>Poor D</w:t>
        </w:r>
      </w:hyperlink>
      <w:r w:rsidR="00744B7D" w:rsidRPr="00291E7C">
        <w:rPr>
          <w:rFonts w:cs="Arial"/>
          <w:color w:val="000000" w:themeColor="text1"/>
        </w:rPr>
        <w:t>.</w:t>
      </w:r>
      <w:proofErr w:type="gramEnd"/>
      <w:r w:rsidR="00744B7D" w:rsidRPr="00291E7C">
        <w:rPr>
          <w:rFonts w:cs="Arial"/>
          <w:color w:val="000000" w:themeColor="text1"/>
        </w:rPr>
        <w:t xml:space="preserve"> The incidence of postoperative wound healing problems following sagittal ramus osteotomies stabilized with </w:t>
      </w:r>
      <w:proofErr w:type="spellStart"/>
      <w:r w:rsidR="00744B7D" w:rsidRPr="00291E7C">
        <w:rPr>
          <w:rFonts w:cs="Arial"/>
          <w:color w:val="000000" w:themeColor="text1"/>
        </w:rPr>
        <w:t>miniplates</w:t>
      </w:r>
      <w:proofErr w:type="spellEnd"/>
      <w:r w:rsidR="00744B7D" w:rsidRPr="00291E7C">
        <w:rPr>
          <w:rFonts w:cs="Arial"/>
          <w:color w:val="000000" w:themeColor="text1"/>
        </w:rPr>
        <w:t xml:space="preserve"> and </w:t>
      </w:r>
      <w:proofErr w:type="spellStart"/>
      <w:r w:rsidR="00744B7D" w:rsidRPr="00291E7C">
        <w:rPr>
          <w:rFonts w:cs="Arial"/>
          <w:color w:val="000000" w:themeColor="text1"/>
        </w:rPr>
        <w:t>monocortical</w:t>
      </w:r>
      <w:proofErr w:type="spellEnd"/>
      <w:r w:rsidR="00744B7D" w:rsidRPr="00291E7C">
        <w:rPr>
          <w:rFonts w:cs="Arial"/>
          <w:color w:val="000000" w:themeColor="text1"/>
        </w:rPr>
        <w:t xml:space="preserve"> screws. </w:t>
      </w:r>
      <w:hyperlink r:id="rId11" w:tooltip="Journal of oral and maxillofacial surgery : official journal of the American Association of Oral and Maxillofacial Surgeons." w:history="1">
        <w:r w:rsidR="00744B7D" w:rsidRPr="00291E7C">
          <w:rPr>
            <w:rStyle w:val="Hyperlink"/>
            <w:rFonts w:cs="Arial"/>
            <w:color w:val="000000" w:themeColor="text1"/>
            <w:u w:val="none"/>
          </w:rPr>
          <w:t xml:space="preserve">J Oral </w:t>
        </w:r>
        <w:proofErr w:type="spellStart"/>
        <w:r w:rsidR="00744B7D" w:rsidRPr="00291E7C">
          <w:rPr>
            <w:rStyle w:val="Hyperlink"/>
            <w:rFonts w:cs="Arial"/>
            <w:color w:val="000000" w:themeColor="text1"/>
            <w:u w:val="none"/>
          </w:rPr>
          <w:t>Maxillofac</w:t>
        </w:r>
        <w:proofErr w:type="spellEnd"/>
        <w:r w:rsidR="00744B7D" w:rsidRPr="00291E7C">
          <w:rPr>
            <w:rStyle w:val="Hyperlink"/>
            <w:rFonts w:cs="Arial"/>
            <w:color w:val="000000" w:themeColor="text1"/>
            <w:u w:val="none"/>
          </w:rPr>
          <w:t xml:space="preserve"> Surg.</w:t>
        </w:r>
      </w:hyperlink>
      <w:r w:rsidR="00744B7D" w:rsidRPr="00291E7C">
        <w:rPr>
          <w:rFonts w:cs="Arial"/>
          <w:color w:val="000000" w:themeColor="text1"/>
        </w:rPr>
        <w:t> 2006 Apr</w:t>
      </w:r>
      <w:proofErr w:type="gramStart"/>
      <w:r w:rsidR="00744B7D" w:rsidRPr="00291E7C">
        <w:rPr>
          <w:rFonts w:cs="Arial"/>
          <w:color w:val="000000" w:themeColor="text1"/>
        </w:rPr>
        <w:t>;64</w:t>
      </w:r>
      <w:proofErr w:type="gramEnd"/>
      <w:r w:rsidR="00744B7D" w:rsidRPr="00291E7C">
        <w:rPr>
          <w:rFonts w:cs="Arial"/>
          <w:color w:val="000000" w:themeColor="text1"/>
        </w:rPr>
        <w:t>(4):659-68.</w:t>
      </w:r>
    </w:p>
    <w:p w14:paraId="6C5B082F" w14:textId="77777777" w:rsidR="0064257B" w:rsidRPr="00291E7C" w:rsidRDefault="0064257B" w:rsidP="00744B7D">
      <w:pPr>
        <w:shd w:val="clear" w:color="auto" w:fill="FFFFFF"/>
        <w:rPr>
          <w:rFonts w:cs="Arial"/>
          <w:color w:val="000000" w:themeColor="text1"/>
        </w:rPr>
      </w:pPr>
    </w:p>
    <w:p w14:paraId="7B55DFB8" w14:textId="77777777" w:rsidR="00744B7D" w:rsidRPr="00291E7C" w:rsidRDefault="00291E7C" w:rsidP="0064257B">
      <w:pPr>
        <w:shd w:val="clear" w:color="auto" w:fill="FFFFFF"/>
        <w:rPr>
          <w:rFonts w:cs="Arial"/>
          <w:color w:val="000000" w:themeColor="text1"/>
        </w:rPr>
      </w:pPr>
      <w:r w:rsidRPr="00291E7C">
        <w:rPr>
          <w:color w:val="000000" w:themeColor="text1"/>
        </w:rPr>
        <w:t xml:space="preserve">Bhatt V, Chhabra P, </w:t>
      </w:r>
      <w:proofErr w:type="gramStart"/>
      <w:r w:rsidRPr="00291E7C">
        <w:rPr>
          <w:color w:val="000000" w:themeColor="text1"/>
        </w:rPr>
        <w:t>Dover</w:t>
      </w:r>
      <w:proofErr w:type="gramEnd"/>
      <w:r w:rsidRPr="00291E7C">
        <w:rPr>
          <w:color w:val="000000" w:themeColor="text1"/>
        </w:rPr>
        <w:t xml:space="preserve"> MS.</w:t>
      </w:r>
      <w:r w:rsidR="0064257B" w:rsidRPr="00291E7C">
        <w:rPr>
          <w:color w:val="000000" w:themeColor="text1"/>
        </w:rPr>
        <w:t xml:space="preserve"> Removal of </w:t>
      </w:r>
      <w:proofErr w:type="spellStart"/>
      <w:r w:rsidR="0064257B" w:rsidRPr="00291E7C">
        <w:rPr>
          <w:color w:val="000000" w:themeColor="text1"/>
        </w:rPr>
        <w:t>miniplates</w:t>
      </w:r>
      <w:proofErr w:type="spellEnd"/>
      <w:r w:rsidR="0064257B" w:rsidRPr="00291E7C">
        <w:rPr>
          <w:color w:val="000000" w:themeColor="text1"/>
        </w:rPr>
        <w:t xml:space="preserve"> in maxillofacial surgery: a follow-up study. J Oral </w:t>
      </w:r>
      <w:proofErr w:type="spellStart"/>
      <w:r w:rsidR="0064257B" w:rsidRPr="00291E7C">
        <w:rPr>
          <w:color w:val="000000" w:themeColor="text1"/>
        </w:rPr>
        <w:t>Maxillofac</w:t>
      </w:r>
      <w:proofErr w:type="spellEnd"/>
      <w:r w:rsidR="0064257B" w:rsidRPr="00291E7C">
        <w:rPr>
          <w:color w:val="000000" w:themeColor="text1"/>
        </w:rPr>
        <w:t xml:space="preserve"> </w:t>
      </w:r>
      <w:proofErr w:type="spellStart"/>
      <w:r w:rsidR="0064257B" w:rsidRPr="00291E7C">
        <w:rPr>
          <w:color w:val="000000" w:themeColor="text1"/>
        </w:rPr>
        <w:t>Surg</w:t>
      </w:r>
      <w:proofErr w:type="spellEnd"/>
      <w:r w:rsidR="0064257B" w:rsidRPr="00291E7C">
        <w:rPr>
          <w:color w:val="000000" w:themeColor="text1"/>
        </w:rPr>
        <w:t xml:space="preserve"> 63: 756e760, 2005</w:t>
      </w:r>
    </w:p>
    <w:p w14:paraId="28747E5F" w14:textId="77777777" w:rsidR="0064257B" w:rsidRPr="00291E7C" w:rsidRDefault="0064257B"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r w:rsidRPr="00291E7C">
        <w:rPr>
          <w:rFonts w:asciiTheme="minorHAnsi" w:hAnsiTheme="minorHAnsi" w:cs="Arial"/>
          <w:b w:val="0"/>
          <w:color w:val="000000" w:themeColor="text1"/>
          <w:sz w:val="24"/>
          <w:szCs w:val="24"/>
        </w:rPr>
        <w:t>Chow</w:t>
      </w:r>
      <w:r w:rsidR="00291E7C" w:rsidRPr="00291E7C">
        <w:rPr>
          <w:rFonts w:asciiTheme="minorHAnsi" w:hAnsiTheme="minorHAnsi" w:cs="Arial"/>
          <w:b w:val="0"/>
          <w:color w:val="000000" w:themeColor="text1"/>
          <w:sz w:val="24"/>
          <w:szCs w:val="24"/>
        </w:rPr>
        <w:t xml:space="preserve"> LK, Singh B, Chiu WK, </w:t>
      </w:r>
      <w:proofErr w:type="spellStart"/>
      <w:r w:rsidR="00291E7C" w:rsidRPr="00291E7C">
        <w:rPr>
          <w:rFonts w:asciiTheme="minorHAnsi" w:hAnsiTheme="minorHAnsi" w:cs="Arial"/>
          <w:b w:val="0"/>
          <w:color w:val="000000" w:themeColor="text1"/>
          <w:sz w:val="24"/>
          <w:szCs w:val="24"/>
        </w:rPr>
        <w:t>Samman</w:t>
      </w:r>
      <w:proofErr w:type="spellEnd"/>
      <w:r w:rsidR="00291E7C" w:rsidRPr="00291E7C">
        <w:rPr>
          <w:rFonts w:asciiTheme="minorHAnsi" w:hAnsiTheme="minorHAnsi" w:cs="Arial"/>
          <w:b w:val="0"/>
          <w:color w:val="000000" w:themeColor="text1"/>
          <w:sz w:val="24"/>
          <w:szCs w:val="24"/>
        </w:rPr>
        <w:t xml:space="preserve"> N.</w:t>
      </w:r>
      <w:r w:rsidRPr="00291E7C">
        <w:rPr>
          <w:rFonts w:asciiTheme="minorHAnsi" w:hAnsiTheme="minorHAnsi" w:cs="Arial"/>
          <w:b w:val="0"/>
          <w:color w:val="000000" w:themeColor="text1"/>
          <w:sz w:val="24"/>
          <w:szCs w:val="24"/>
        </w:rPr>
        <w:t xml:space="preserve"> Prevalence of postoperative complications after orthognathic surgery: a 15-year review. J Oral </w:t>
      </w:r>
      <w:proofErr w:type="spellStart"/>
      <w:r w:rsidRPr="00291E7C">
        <w:rPr>
          <w:rFonts w:asciiTheme="minorHAnsi" w:hAnsiTheme="minorHAnsi" w:cs="Arial"/>
          <w:b w:val="0"/>
          <w:color w:val="000000" w:themeColor="text1"/>
          <w:sz w:val="24"/>
          <w:szCs w:val="24"/>
        </w:rPr>
        <w:t>Maxillofac</w:t>
      </w:r>
      <w:proofErr w:type="spellEnd"/>
      <w:r w:rsidRPr="00291E7C">
        <w:rPr>
          <w:rFonts w:asciiTheme="minorHAnsi" w:hAnsiTheme="minorHAnsi" w:cs="Arial"/>
          <w:b w:val="0"/>
          <w:color w:val="000000" w:themeColor="text1"/>
          <w:sz w:val="24"/>
          <w:szCs w:val="24"/>
        </w:rPr>
        <w:t xml:space="preserve"> </w:t>
      </w:r>
      <w:proofErr w:type="spellStart"/>
      <w:r w:rsidRPr="00291E7C">
        <w:rPr>
          <w:rFonts w:asciiTheme="minorHAnsi" w:hAnsiTheme="minorHAnsi" w:cs="Arial"/>
          <w:b w:val="0"/>
          <w:color w:val="000000" w:themeColor="text1"/>
          <w:sz w:val="24"/>
          <w:szCs w:val="24"/>
        </w:rPr>
        <w:t>Surg</w:t>
      </w:r>
      <w:proofErr w:type="spellEnd"/>
      <w:r w:rsidRPr="00291E7C">
        <w:rPr>
          <w:rFonts w:asciiTheme="minorHAnsi" w:hAnsiTheme="minorHAnsi" w:cs="Arial"/>
          <w:b w:val="0"/>
          <w:color w:val="000000" w:themeColor="text1"/>
          <w:sz w:val="24"/>
          <w:szCs w:val="24"/>
        </w:rPr>
        <w:t xml:space="preserve"> 65:984e992, 2007</w:t>
      </w:r>
    </w:p>
    <w:p w14:paraId="1820C4FA" w14:textId="77777777" w:rsidR="0064257B" w:rsidRPr="00291E7C" w:rsidRDefault="0064257B"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r w:rsidRPr="00291E7C">
        <w:rPr>
          <w:rFonts w:asciiTheme="minorHAnsi" w:hAnsiTheme="minorHAnsi" w:cs="Arial"/>
          <w:b w:val="0"/>
          <w:color w:val="000000" w:themeColor="text1"/>
          <w:sz w:val="24"/>
          <w:szCs w:val="24"/>
        </w:rPr>
        <w:t xml:space="preserve">Falter B, </w:t>
      </w:r>
      <w:proofErr w:type="spellStart"/>
      <w:r w:rsidRPr="00291E7C">
        <w:rPr>
          <w:rFonts w:asciiTheme="minorHAnsi" w:hAnsiTheme="minorHAnsi" w:cs="Arial"/>
          <w:b w:val="0"/>
          <w:color w:val="000000" w:themeColor="text1"/>
          <w:sz w:val="24"/>
          <w:szCs w:val="24"/>
        </w:rPr>
        <w:t>Schepers</w:t>
      </w:r>
      <w:proofErr w:type="spellEnd"/>
      <w:r w:rsidRPr="00291E7C">
        <w:rPr>
          <w:rFonts w:asciiTheme="minorHAnsi" w:hAnsiTheme="minorHAnsi" w:cs="Arial"/>
          <w:b w:val="0"/>
          <w:color w:val="000000" w:themeColor="text1"/>
          <w:sz w:val="24"/>
          <w:szCs w:val="24"/>
        </w:rPr>
        <w:t xml:space="preserve"> S, </w:t>
      </w:r>
      <w:proofErr w:type="spellStart"/>
      <w:r w:rsidRPr="00291E7C">
        <w:rPr>
          <w:rFonts w:asciiTheme="minorHAnsi" w:hAnsiTheme="minorHAnsi" w:cs="Arial"/>
          <w:b w:val="0"/>
          <w:color w:val="000000" w:themeColor="text1"/>
          <w:sz w:val="24"/>
          <w:szCs w:val="24"/>
        </w:rPr>
        <w:t>Vriel</w:t>
      </w:r>
      <w:r w:rsidR="00291E7C" w:rsidRPr="00291E7C">
        <w:rPr>
          <w:rFonts w:asciiTheme="minorHAnsi" w:hAnsiTheme="minorHAnsi" w:cs="Arial"/>
          <w:b w:val="0"/>
          <w:color w:val="000000" w:themeColor="text1"/>
          <w:sz w:val="24"/>
          <w:szCs w:val="24"/>
        </w:rPr>
        <w:t>inck</w:t>
      </w:r>
      <w:proofErr w:type="spellEnd"/>
      <w:r w:rsidR="00291E7C" w:rsidRPr="00291E7C">
        <w:rPr>
          <w:rFonts w:asciiTheme="minorHAnsi" w:hAnsiTheme="minorHAnsi" w:cs="Arial"/>
          <w:b w:val="0"/>
          <w:color w:val="000000" w:themeColor="text1"/>
          <w:sz w:val="24"/>
          <w:szCs w:val="24"/>
        </w:rPr>
        <w:t xml:space="preserve"> L, </w:t>
      </w:r>
      <w:proofErr w:type="spellStart"/>
      <w:r w:rsidR="00291E7C" w:rsidRPr="00291E7C">
        <w:rPr>
          <w:rFonts w:asciiTheme="minorHAnsi" w:hAnsiTheme="minorHAnsi" w:cs="Arial"/>
          <w:b w:val="0"/>
          <w:color w:val="000000" w:themeColor="text1"/>
          <w:sz w:val="24"/>
          <w:szCs w:val="24"/>
        </w:rPr>
        <w:t>Lambrichts</w:t>
      </w:r>
      <w:proofErr w:type="spellEnd"/>
      <w:r w:rsidR="00291E7C" w:rsidRPr="00291E7C">
        <w:rPr>
          <w:rFonts w:asciiTheme="minorHAnsi" w:hAnsiTheme="minorHAnsi" w:cs="Arial"/>
          <w:b w:val="0"/>
          <w:color w:val="000000" w:themeColor="text1"/>
          <w:sz w:val="24"/>
          <w:szCs w:val="24"/>
        </w:rPr>
        <w:t xml:space="preserve"> I, </w:t>
      </w:r>
      <w:proofErr w:type="spellStart"/>
      <w:proofErr w:type="gramStart"/>
      <w:r w:rsidR="00291E7C" w:rsidRPr="00291E7C">
        <w:rPr>
          <w:rFonts w:asciiTheme="minorHAnsi" w:hAnsiTheme="minorHAnsi" w:cs="Arial"/>
          <w:b w:val="0"/>
          <w:color w:val="000000" w:themeColor="text1"/>
          <w:sz w:val="24"/>
          <w:szCs w:val="24"/>
        </w:rPr>
        <w:t>Politis</w:t>
      </w:r>
      <w:proofErr w:type="spellEnd"/>
      <w:proofErr w:type="gramEnd"/>
      <w:r w:rsidR="00291E7C" w:rsidRPr="00291E7C">
        <w:rPr>
          <w:rFonts w:asciiTheme="minorHAnsi" w:hAnsiTheme="minorHAnsi" w:cs="Arial"/>
          <w:b w:val="0"/>
          <w:color w:val="000000" w:themeColor="text1"/>
          <w:sz w:val="24"/>
          <w:szCs w:val="24"/>
        </w:rPr>
        <w:t xml:space="preserve"> C.</w:t>
      </w:r>
      <w:r w:rsidRPr="00291E7C">
        <w:rPr>
          <w:rFonts w:asciiTheme="minorHAnsi" w:hAnsiTheme="minorHAnsi" w:cs="Arial"/>
          <w:b w:val="0"/>
          <w:color w:val="000000" w:themeColor="text1"/>
          <w:sz w:val="24"/>
          <w:szCs w:val="24"/>
        </w:rPr>
        <w:t xml:space="preserve"> Plate removal following orthognathic surgery. Oral </w:t>
      </w:r>
      <w:proofErr w:type="spellStart"/>
      <w:r w:rsidRPr="00291E7C">
        <w:rPr>
          <w:rFonts w:asciiTheme="minorHAnsi" w:hAnsiTheme="minorHAnsi" w:cs="Arial"/>
          <w:b w:val="0"/>
          <w:color w:val="000000" w:themeColor="text1"/>
          <w:sz w:val="24"/>
          <w:szCs w:val="24"/>
        </w:rPr>
        <w:t>Surg</w:t>
      </w:r>
      <w:proofErr w:type="spellEnd"/>
      <w:r w:rsidRPr="00291E7C">
        <w:rPr>
          <w:rFonts w:asciiTheme="minorHAnsi" w:hAnsiTheme="minorHAnsi" w:cs="Arial"/>
          <w:b w:val="0"/>
          <w:color w:val="000000" w:themeColor="text1"/>
          <w:sz w:val="24"/>
          <w:szCs w:val="24"/>
        </w:rPr>
        <w:t xml:space="preserve"> Oral Med Oral </w:t>
      </w:r>
      <w:proofErr w:type="spellStart"/>
      <w:r w:rsidRPr="00291E7C">
        <w:rPr>
          <w:rFonts w:asciiTheme="minorHAnsi" w:hAnsiTheme="minorHAnsi" w:cs="Arial"/>
          <w:b w:val="0"/>
          <w:color w:val="000000" w:themeColor="text1"/>
          <w:sz w:val="24"/>
          <w:szCs w:val="24"/>
        </w:rPr>
        <w:t>Pathol</w:t>
      </w:r>
      <w:proofErr w:type="spellEnd"/>
      <w:r w:rsidRPr="00291E7C">
        <w:rPr>
          <w:rFonts w:asciiTheme="minorHAnsi" w:hAnsiTheme="minorHAnsi" w:cs="Arial"/>
          <w:b w:val="0"/>
          <w:color w:val="000000" w:themeColor="text1"/>
          <w:sz w:val="24"/>
          <w:szCs w:val="24"/>
        </w:rPr>
        <w:t xml:space="preserve"> Oral </w:t>
      </w:r>
      <w:proofErr w:type="spellStart"/>
      <w:r w:rsidRPr="00291E7C">
        <w:rPr>
          <w:rFonts w:asciiTheme="minorHAnsi" w:hAnsiTheme="minorHAnsi" w:cs="Arial"/>
          <w:b w:val="0"/>
          <w:color w:val="000000" w:themeColor="text1"/>
          <w:sz w:val="24"/>
          <w:szCs w:val="24"/>
        </w:rPr>
        <w:t>Radiol</w:t>
      </w:r>
      <w:proofErr w:type="spellEnd"/>
      <w:r w:rsidRPr="00291E7C">
        <w:rPr>
          <w:rFonts w:asciiTheme="minorHAnsi" w:hAnsiTheme="minorHAnsi" w:cs="Arial"/>
          <w:b w:val="0"/>
          <w:color w:val="000000" w:themeColor="text1"/>
          <w:sz w:val="24"/>
          <w:szCs w:val="24"/>
        </w:rPr>
        <w:t xml:space="preserve"> </w:t>
      </w:r>
      <w:proofErr w:type="spellStart"/>
      <w:r w:rsidRPr="00291E7C">
        <w:rPr>
          <w:rFonts w:asciiTheme="minorHAnsi" w:hAnsiTheme="minorHAnsi" w:cs="Arial"/>
          <w:b w:val="0"/>
          <w:color w:val="000000" w:themeColor="text1"/>
          <w:sz w:val="24"/>
          <w:szCs w:val="24"/>
        </w:rPr>
        <w:t>Endod</w:t>
      </w:r>
      <w:proofErr w:type="spellEnd"/>
      <w:r w:rsidRPr="00291E7C">
        <w:rPr>
          <w:rFonts w:asciiTheme="minorHAnsi" w:hAnsiTheme="minorHAnsi" w:cs="Arial"/>
          <w:b w:val="0"/>
          <w:color w:val="000000" w:themeColor="text1"/>
          <w:sz w:val="24"/>
          <w:szCs w:val="24"/>
        </w:rPr>
        <w:t xml:space="preserve"> 112:737e743, 2011</w:t>
      </w:r>
    </w:p>
    <w:p w14:paraId="3C3162B8" w14:textId="77777777" w:rsidR="0064257B" w:rsidRPr="00291E7C" w:rsidRDefault="0064257B"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proofErr w:type="spellStart"/>
      <w:r w:rsidRPr="00291E7C">
        <w:rPr>
          <w:rFonts w:asciiTheme="minorHAnsi" w:hAnsiTheme="minorHAnsi" w:cs="Arial"/>
          <w:b w:val="0"/>
          <w:color w:val="000000" w:themeColor="text1"/>
          <w:sz w:val="24"/>
          <w:szCs w:val="24"/>
        </w:rPr>
        <w:t>Haraji</w:t>
      </w:r>
      <w:proofErr w:type="spellEnd"/>
      <w:r w:rsidR="00291E7C" w:rsidRPr="00291E7C">
        <w:rPr>
          <w:rFonts w:asciiTheme="minorHAnsi" w:hAnsiTheme="minorHAnsi" w:cs="Arial"/>
          <w:b w:val="0"/>
          <w:color w:val="000000" w:themeColor="text1"/>
          <w:sz w:val="24"/>
          <w:szCs w:val="24"/>
        </w:rPr>
        <w:t xml:space="preserve"> A, </w:t>
      </w:r>
      <w:proofErr w:type="spellStart"/>
      <w:r w:rsidR="00291E7C" w:rsidRPr="00291E7C">
        <w:rPr>
          <w:rFonts w:asciiTheme="minorHAnsi" w:hAnsiTheme="minorHAnsi" w:cs="Arial"/>
          <w:b w:val="0"/>
          <w:color w:val="000000" w:themeColor="text1"/>
          <w:sz w:val="24"/>
          <w:szCs w:val="24"/>
        </w:rPr>
        <w:t>Motamedi</w:t>
      </w:r>
      <w:proofErr w:type="spellEnd"/>
      <w:r w:rsidR="00291E7C" w:rsidRPr="00291E7C">
        <w:rPr>
          <w:rFonts w:asciiTheme="minorHAnsi" w:hAnsiTheme="minorHAnsi" w:cs="Arial"/>
          <w:b w:val="0"/>
          <w:color w:val="000000" w:themeColor="text1"/>
          <w:sz w:val="24"/>
          <w:szCs w:val="24"/>
        </w:rPr>
        <w:t xml:space="preserve"> MH, </w:t>
      </w:r>
      <w:proofErr w:type="spellStart"/>
      <w:proofErr w:type="gramStart"/>
      <w:r w:rsidR="00291E7C" w:rsidRPr="00291E7C">
        <w:rPr>
          <w:rFonts w:asciiTheme="minorHAnsi" w:hAnsiTheme="minorHAnsi" w:cs="Arial"/>
          <w:b w:val="0"/>
          <w:color w:val="000000" w:themeColor="text1"/>
          <w:sz w:val="24"/>
          <w:szCs w:val="24"/>
        </w:rPr>
        <w:t>Moharamnejad</w:t>
      </w:r>
      <w:proofErr w:type="spellEnd"/>
      <w:r w:rsidR="00291E7C" w:rsidRPr="00291E7C">
        <w:rPr>
          <w:rFonts w:asciiTheme="minorHAnsi" w:hAnsiTheme="minorHAnsi" w:cs="Arial"/>
          <w:b w:val="0"/>
          <w:color w:val="000000" w:themeColor="text1"/>
          <w:sz w:val="24"/>
          <w:szCs w:val="24"/>
        </w:rPr>
        <w:t xml:space="preserve"> .</w:t>
      </w:r>
      <w:proofErr w:type="gramEnd"/>
      <w:r w:rsidR="00291E7C" w:rsidRPr="00291E7C">
        <w:rPr>
          <w:rFonts w:asciiTheme="minorHAnsi" w:hAnsiTheme="minorHAnsi" w:cs="Arial"/>
          <w:b w:val="0"/>
          <w:color w:val="000000" w:themeColor="text1"/>
          <w:sz w:val="24"/>
          <w:szCs w:val="24"/>
        </w:rPr>
        <w:t xml:space="preserve"> </w:t>
      </w:r>
      <w:r w:rsidRPr="00291E7C">
        <w:rPr>
          <w:rFonts w:asciiTheme="minorHAnsi" w:hAnsiTheme="minorHAnsi" w:cs="Arial"/>
          <w:b w:val="0"/>
          <w:color w:val="000000" w:themeColor="text1"/>
          <w:sz w:val="24"/>
          <w:szCs w:val="24"/>
        </w:rPr>
        <w:t xml:space="preserve"> Causes and incidence of </w:t>
      </w:r>
      <w:proofErr w:type="spellStart"/>
      <w:r w:rsidRPr="00291E7C">
        <w:rPr>
          <w:rFonts w:asciiTheme="minorHAnsi" w:hAnsiTheme="minorHAnsi" w:cs="Arial"/>
          <w:b w:val="0"/>
          <w:color w:val="000000" w:themeColor="text1"/>
          <w:sz w:val="24"/>
          <w:szCs w:val="24"/>
        </w:rPr>
        <w:t>miniplate</w:t>
      </w:r>
      <w:proofErr w:type="spellEnd"/>
      <w:r w:rsidRPr="00291E7C">
        <w:rPr>
          <w:rFonts w:asciiTheme="minorHAnsi" w:hAnsiTheme="minorHAnsi" w:cs="Arial"/>
          <w:b w:val="0"/>
          <w:color w:val="000000" w:themeColor="text1"/>
          <w:sz w:val="24"/>
          <w:szCs w:val="24"/>
        </w:rPr>
        <w:t xml:space="preserve"> removal following Le Fort I osteotomy. </w:t>
      </w:r>
      <w:proofErr w:type="spellStart"/>
      <w:r w:rsidRPr="00291E7C">
        <w:rPr>
          <w:rFonts w:asciiTheme="minorHAnsi" w:hAnsiTheme="minorHAnsi" w:cs="Arial"/>
          <w:b w:val="0"/>
          <w:color w:val="000000" w:themeColor="text1"/>
          <w:sz w:val="24"/>
          <w:szCs w:val="24"/>
        </w:rPr>
        <w:t>Eplasty</w:t>
      </w:r>
      <w:proofErr w:type="spellEnd"/>
      <w:r w:rsidRPr="00291E7C">
        <w:rPr>
          <w:rFonts w:asciiTheme="minorHAnsi" w:hAnsiTheme="minorHAnsi" w:cs="Arial"/>
          <w:b w:val="0"/>
          <w:color w:val="000000" w:themeColor="text1"/>
          <w:sz w:val="24"/>
          <w:szCs w:val="24"/>
        </w:rPr>
        <w:t xml:space="preserve"> 9, 2009</w:t>
      </w:r>
    </w:p>
    <w:p w14:paraId="4DA4F3A7" w14:textId="77777777" w:rsidR="0064257B" w:rsidRPr="00291E7C" w:rsidRDefault="0064257B"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proofErr w:type="spellStart"/>
      <w:r w:rsidRPr="00291E7C">
        <w:rPr>
          <w:rFonts w:asciiTheme="minorHAnsi" w:hAnsiTheme="minorHAnsi" w:cs="Arial"/>
          <w:b w:val="0"/>
          <w:color w:val="000000" w:themeColor="text1"/>
          <w:sz w:val="24"/>
          <w:szCs w:val="24"/>
        </w:rPr>
        <w:t>Kuhlefelt</w:t>
      </w:r>
      <w:proofErr w:type="spellEnd"/>
      <w:r w:rsidRPr="00291E7C">
        <w:rPr>
          <w:rFonts w:asciiTheme="minorHAnsi" w:hAnsiTheme="minorHAnsi" w:cs="Arial"/>
          <w:b w:val="0"/>
          <w:color w:val="000000" w:themeColor="text1"/>
          <w:sz w:val="24"/>
          <w:szCs w:val="24"/>
        </w:rPr>
        <w:t xml:space="preserve"> M, Laine P, </w:t>
      </w:r>
      <w:proofErr w:type="spellStart"/>
      <w:r w:rsidRPr="00291E7C">
        <w:rPr>
          <w:rFonts w:asciiTheme="minorHAnsi" w:hAnsiTheme="minorHAnsi" w:cs="Arial"/>
          <w:b w:val="0"/>
          <w:color w:val="000000" w:themeColor="text1"/>
          <w:sz w:val="24"/>
          <w:szCs w:val="24"/>
        </w:rPr>
        <w:t>Suominen-Taipale</w:t>
      </w:r>
      <w:proofErr w:type="spellEnd"/>
      <w:r w:rsidRPr="00291E7C">
        <w:rPr>
          <w:rFonts w:asciiTheme="minorHAnsi" w:hAnsiTheme="minorHAnsi" w:cs="Arial"/>
          <w:b w:val="0"/>
          <w:color w:val="000000" w:themeColor="text1"/>
          <w:sz w:val="24"/>
          <w:szCs w:val="24"/>
        </w:rPr>
        <w:t xml:space="preserve"> L, </w:t>
      </w:r>
      <w:proofErr w:type="spellStart"/>
      <w:r w:rsidR="00291E7C" w:rsidRPr="00291E7C">
        <w:rPr>
          <w:rFonts w:asciiTheme="minorHAnsi" w:hAnsiTheme="minorHAnsi" w:cs="Arial"/>
          <w:b w:val="0"/>
          <w:color w:val="000000" w:themeColor="text1"/>
          <w:sz w:val="24"/>
          <w:szCs w:val="24"/>
        </w:rPr>
        <w:t>Ingman</w:t>
      </w:r>
      <w:proofErr w:type="spellEnd"/>
      <w:r w:rsidR="00291E7C" w:rsidRPr="00291E7C">
        <w:rPr>
          <w:rFonts w:asciiTheme="minorHAnsi" w:hAnsiTheme="minorHAnsi" w:cs="Arial"/>
          <w:b w:val="0"/>
          <w:color w:val="000000" w:themeColor="text1"/>
          <w:sz w:val="24"/>
          <w:szCs w:val="24"/>
        </w:rPr>
        <w:t xml:space="preserve"> T, </w:t>
      </w:r>
      <w:proofErr w:type="spellStart"/>
      <w:r w:rsidR="00291E7C" w:rsidRPr="00291E7C">
        <w:rPr>
          <w:rFonts w:asciiTheme="minorHAnsi" w:hAnsiTheme="minorHAnsi" w:cs="Arial"/>
          <w:b w:val="0"/>
          <w:color w:val="000000" w:themeColor="text1"/>
          <w:sz w:val="24"/>
          <w:szCs w:val="24"/>
        </w:rPr>
        <w:t>Lindqvist</w:t>
      </w:r>
      <w:proofErr w:type="spellEnd"/>
      <w:r w:rsidR="00291E7C" w:rsidRPr="00291E7C">
        <w:rPr>
          <w:rFonts w:asciiTheme="minorHAnsi" w:hAnsiTheme="minorHAnsi" w:cs="Arial"/>
          <w:b w:val="0"/>
          <w:color w:val="000000" w:themeColor="text1"/>
          <w:sz w:val="24"/>
          <w:szCs w:val="24"/>
        </w:rPr>
        <w:t xml:space="preserve"> C, </w:t>
      </w:r>
      <w:proofErr w:type="spellStart"/>
      <w:r w:rsidR="00291E7C" w:rsidRPr="00291E7C">
        <w:rPr>
          <w:rFonts w:asciiTheme="minorHAnsi" w:hAnsiTheme="minorHAnsi" w:cs="Arial"/>
          <w:b w:val="0"/>
          <w:color w:val="000000" w:themeColor="text1"/>
          <w:sz w:val="24"/>
          <w:szCs w:val="24"/>
        </w:rPr>
        <w:t>Thoren</w:t>
      </w:r>
      <w:proofErr w:type="spellEnd"/>
      <w:r w:rsidR="00291E7C" w:rsidRPr="00291E7C">
        <w:rPr>
          <w:rFonts w:asciiTheme="minorHAnsi" w:hAnsiTheme="minorHAnsi" w:cs="Arial"/>
          <w:b w:val="0"/>
          <w:color w:val="000000" w:themeColor="text1"/>
          <w:sz w:val="24"/>
          <w:szCs w:val="24"/>
        </w:rPr>
        <w:t xml:space="preserve"> H.</w:t>
      </w:r>
      <w:r w:rsidRPr="00291E7C">
        <w:rPr>
          <w:rFonts w:asciiTheme="minorHAnsi" w:hAnsiTheme="minorHAnsi" w:cs="Arial"/>
          <w:b w:val="0"/>
          <w:color w:val="000000" w:themeColor="text1"/>
          <w:sz w:val="24"/>
          <w:szCs w:val="24"/>
        </w:rPr>
        <w:t xml:space="preserve"> Risk factors contributing to symptomatic </w:t>
      </w:r>
      <w:proofErr w:type="spellStart"/>
      <w:r w:rsidRPr="00291E7C">
        <w:rPr>
          <w:rFonts w:asciiTheme="minorHAnsi" w:hAnsiTheme="minorHAnsi" w:cs="Arial"/>
          <w:b w:val="0"/>
          <w:color w:val="000000" w:themeColor="text1"/>
          <w:sz w:val="24"/>
          <w:szCs w:val="24"/>
        </w:rPr>
        <w:t>miniplate</w:t>
      </w:r>
      <w:proofErr w:type="spellEnd"/>
      <w:r w:rsidRPr="00291E7C">
        <w:rPr>
          <w:rFonts w:asciiTheme="minorHAnsi" w:hAnsiTheme="minorHAnsi" w:cs="Arial"/>
          <w:b w:val="0"/>
          <w:color w:val="000000" w:themeColor="text1"/>
          <w:sz w:val="24"/>
          <w:szCs w:val="24"/>
        </w:rPr>
        <w:t xml:space="preserve"> removal: a retrospective study of</w:t>
      </w:r>
      <w:r w:rsidR="002A2C9C">
        <w:rPr>
          <w:rFonts w:asciiTheme="minorHAnsi" w:hAnsiTheme="minorHAnsi" w:cs="Arial"/>
          <w:b w:val="0"/>
          <w:color w:val="000000" w:themeColor="text1"/>
          <w:sz w:val="24"/>
          <w:szCs w:val="24"/>
        </w:rPr>
        <w:t xml:space="preserve"> </w:t>
      </w:r>
      <w:r w:rsidRPr="00291E7C">
        <w:rPr>
          <w:rFonts w:asciiTheme="minorHAnsi" w:hAnsiTheme="minorHAnsi" w:cs="Arial"/>
          <w:b w:val="0"/>
          <w:color w:val="000000" w:themeColor="text1"/>
          <w:sz w:val="24"/>
          <w:szCs w:val="24"/>
        </w:rPr>
        <w:t xml:space="preserve">153 bilateral sagittal split osteotomy patients. </w:t>
      </w:r>
      <w:proofErr w:type="spellStart"/>
      <w:r w:rsidRPr="00291E7C">
        <w:rPr>
          <w:rFonts w:asciiTheme="minorHAnsi" w:hAnsiTheme="minorHAnsi" w:cs="Arial"/>
          <w:b w:val="0"/>
          <w:color w:val="000000" w:themeColor="text1"/>
          <w:sz w:val="24"/>
          <w:szCs w:val="24"/>
        </w:rPr>
        <w:t>Int</w:t>
      </w:r>
      <w:proofErr w:type="spellEnd"/>
      <w:r w:rsidRPr="00291E7C">
        <w:rPr>
          <w:rFonts w:asciiTheme="minorHAnsi" w:hAnsiTheme="minorHAnsi" w:cs="Arial"/>
          <w:b w:val="0"/>
          <w:color w:val="000000" w:themeColor="text1"/>
          <w:sz w:val="24"/>
          <w:szCs w:val="24"/>
        </w:rPr>
        <w:t xml:space="preserve"> J Oral </w:t>
      </w:r>
      <w:proofErr w:type="spellStart"/>
      <w:r w:rsidRPr="00291E7C">
        <w:rPr>
          <w:rFonts w:asciiTheme="minorHAnsi" w:hAnsiTheme="minorHAnsi" w:cs="Arial"/>
          <w:b w:val="0"/>
          <w:color w:val="000000" w:themeColor="text1"/>
          <w:sz w:val="24"/>
          <w:szCs w:val="24"/>
        </w:rPr>
        <w:t>Maxillofac</w:t>
      </w:r>
      <w:proofErr w:type="spellEnd"/>
      <w:r w:rsidRPr="00291E7C">
        <w:rPr>
          <w:rFonts w:asciiTheme="minorHAnsi" w:hAnsiTheme="minorHAnsi" w:cs="Arial"/>
          <w:b w:val="0"/>
          <w:color w:val="000000" w:themeColor="text1"/>
          <w:sz w:val="24"/>
          <w:szCs w:val="24"/>
        </w:rPr>
        <w:t xml:space="preserve"> </w:t>
      </w:r>
      <w:proofErr w:type="spellStart"/>
      <w:r w:rsidRPr="00291E7C">
        <w:rPr>
          <w:rFonts w:asciiTheme="minorHAnsi" w:hAnsiTheme="minorHAnsi" w:cs="Arial"/>
          <w:b w:val="0"/>
          <w:color w:val="000000" w:themeColor="text1"/>
          <w:sz w:val="24"/>
          <w:szCs w:val="24"/>
        </w:rPr>
        <w:t>Surg</w:t>
      </w:r>
      <w:proofErr w:type="spellEnd"/>
      <w:r w:rsidRPr="00291E7C">
        <w:rPr>
          <w:rFonts w:asciiTheme="minorHAnsi" w:hAnsiTheme="minorHAnsi" w:cs="Arial"/>
          <w:b w:val="0"/>
          <w:color w:val="000000" w:themeColor="text1"/>
          <w:sz w:val="24"/>
          <w:szCs w:val="24"/>
        </w:rPr>
        <w:t xml:space="preserve"> 39:430e435, 2010</w:t>
      </w:r>
    </w:p>
    <w:p w14:paraId="4C241A18" w14:textId="77777777" w:rsidR="0064257B" w:rsidRPr="00291E7C" w:rsidRDefault="00291E7C"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r w:rsidRPr="00291E7C">
        <w:rPr>
          <w:rFonts w:asciiTheme="minorHAnsi" w:hAnsiTheme="minorHAnsi" w:cs="Arial"/>
          <w:b w:val="0"/>
          <w:color w:val="000000" w:themeColor="text1"/>
          <w:sz w:val="24"/>
          <w:szCs w:val="24"/>
        </w:rPr>
        <w:t xml:space="preserve">Manor Y, </w:t>
      </w:r>
      <w:proofErr w:type="spellStart"/>
      <w:r w:rsidRPr="00291E7C">
        <w:rPr>
          <w:rFonts w:asciiTheme="minorHAnsi" w:hAnsiTheme="minorHAnsi" w:cs="Arial"/>
          <w:b w:val="0"/>
          <w:color w:val="000000" w:themeColor="text1"/>
          <w:sz w:val="24"/>
          <w:szCs w:val="24"/>
        </w:rPr>
        <w:t>Chaushu</w:t>
      </w:r>
      <w:proofErr w:type="spellEnd"/>
      <w:r w:rsidRPr="00291E7C">
        <w:rPr>
          <w:rFonts w:asciiTheme="minorHAnsi" w:hAnsiTheme="minorHAnsi" w:cs="Arial"/>
          <w:b w:val="0"/>
          <w:color w:val="000000" w:themeColor="text1"/>
          <w:sz w:val="24"/>
          <w:szCs w:val="24"/>
        </w:rPr>
        <w:t xml:space="preserve"> G, </w:t>
      </w:r>
      <w:proofErr w:type="spellStart"/>
      <w:r w:rsidRPr="00291E7C">
        <w:rPr>
          <w:rFonts w:asciiTheme="minorHAnsi" w:hAnsiTheme="minorHAnsi" w:cs="Arial"/>
          <w:b w:val="0"/>
          <w:color w:val="000000" w:themeColor="text1"/>
          <w:sz w:val="24"/>
          <w:szCs w:val="24"/>
        </w:rPr>
        <w:t>Taicher</w:t>
      </w:r>
      <w:proofErr w:type="spellEnd"/>
      <w:r w:rsidRPr="00291E7C">
        <w:rPr>
          <w:rFonts w:asciiTheme="minorHAnsi" w:hAnsiTheme="minorHAnsi" w:cs="Arial"/>
          <w:b w:val="0"/>
          <w:color w:val="000000" w:themeColor="text1"/>
          <w:sz w:val="24"/>
          <w:szCs w:val="24"/>
        </w:rPr>
        <w:t xml:space="preserve"> S.</w:t>
      </w:r>
      <w:r w:rsidR="0064257B" w:rsidRPr="00291E7C">
        <w:rPr>
          <w:rFonts w:asciiTheme="minorHAnsi" w:hAnsiTheme="minorHAnsi" w:cs="Arial"/>
          <w:b w:val="0"/>
          <w:color w:val="000000" w:themeColor="text1"/>
          <w:sz w:val="24"/>
          <w:szCs w:val="24"/>
        </w:rPr>
        <w:t xml:space="preserve"> Risk factors contributing to symptomatic plate removal in orthognathic surgery patients. J Oral </w:t>
      </w:r>
      <w:proofErr w:type="spellStart"/>
      <w:r w:rsidR="0064257B" w:rsidRPr="00291E7C">
        <w:rPr>
          <w:rFonts w:asciiTheme="minorHAnsi" w:hAnsiTheme="minorHAnsi" w:cs="Arial"/>
          <w:b w:val="0"/>
          <w:color w:val="000000" w:themeColor="text1"/>
          <w:sz w:val="24"/>
          <w:szCs w:val="24"/>
        </w:rPr>
        <w:t>Maxillofac</w:t>
      </w:r>
      <w:proofErr w:type="spellEnd"/>
      <w:r w:rsidR="0064257B" w:rsidRPr="00291E7C">
        <w:rPr>
          <w:rFonts w:asciiTheme="minorHAnsi" w:hAnsiTheme="minorHAnsi" w:cs="Arial"/>
          <w:b w:val="0"/>
          <w:color w:val="000000" w:themeColor="text1"/>
          <w:sz w:val="24"/>
          <w:szCs w:val="24"/>
        </w:rPr>
        <w:t xml:space="preserve"> </w:t>
      </w:r>
      <w:proofErr w:type="spellStart"/>
      <w:r w:rsidR="0064257B" w:rsidRPr="00291E7C">
        <w:rPr>
          <w:rFonts w:asciiTheme="minorHAnsi" w:hAnsiTheme="minorHAnsi" w:cs="Arial"/>
          <w:b w:val="0"/>
          <w:color w:val="000000" w:themeColor="text1"/>
          <w:sz w:val="24"/>
          <w:szCs w:val="24"/>
        </w:rPr>
        <w:t>Surg</w:t>
      </w:r>
      <w:proofErr w:type="spellEnd"/>
      <w:r w:rsidR="0064257B" w:rsidRPr="00291E7C">
        <w:rPr>
          <w:rFonts w:asciiTheme="minorHAnsi" w:hAnsiTheme="minorHAnsi" w:cs="Arial"/>
          <w:b w:val="0"/>
          <w:color w:val="000000" w:themeColor="text1"/>
          <w:sz w:val="24"/>
          <w:szCs w:val="24"/>
        </w:rPr>
        <w:t xml:space="preserve"> 57: 679e682</w:t>
      </w:r>
      <w:proofErr w:type="gramStart"/>
      <w:r w:rsidR="0064257B" w:rsidRPr="00291E7C">
        <w:rPr>
          <w:rFonts w:asciiTheme="minorHAnsi" w:hAnsiTheme="minorHAnsi" w:cs="Arial"/>
          <w:b w:val="0"/>
          <w:color w:val="000000" w:themeColor="text1"/>
          <w:sz w:val="24"/>
          <w:szCs w:val="24"/>
        </w:rPr>
        <w:t>,1999</w:t>
      </w:r>
      <w:proofErr w:type="gramEnd"/>
    </w:p>
    <w:p w14:paraId="2009EF0D" w14:textId="77777777" w:rsidR="0064257B" w:rsidRPr="00291E7C" w:rsidRDefault="00291E7C"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proofErr w:type="spellStart"/>
      <w:r w:rsidRPr="00291E7C">
        <w:rPr>
          <w:rFonts w:asciiTheme="minorHAnsi" w:hAnsiTheme="minorHAnsi" w:cs="Arial"/>
          <w:b w:val="0"/>
          <w:color w:val="000000" w:themeColor="text1"/>
          <w:sz w:val="24"/>
          <w:szCs w:val="24"/>
        </w:rPr>
        <w:t>Panula</w:t>
      </w:r>
      <w:proofErr w:type="spellEnd"/>
      <w:r w:rsidRPr="00291E7C">
        <w:rPr>
          <w:rFonts w:asciiTheme="minorHAnsi" w:hAnsiTheme="minorHAnsi" w:cs="Arial"/>
          <w:b w:val="0"/>
          <w:color w:val="000000" w:themeColor="text1"/>
          <w:sz w:val="24"/>
          <w:szCs w:val="24"/>
        </w:rPr>
        <w:t xml:space="preserve"> K, </w:t>
      </w:r>
      <w:proofErr w:type="spellStart"/>
      <w:r w:rsidRPr="00291E7C">
        <w:rPr>
          <w:rFonts w:asciiTheme="minorHAnsi" w:hAnsiTheme="minorHAnsi" w:cs="Arial"/>
          <w:b w:val="0"/>
          <w:color w:val="000000" w:themeColor="text1"/>
          <w:sz w:val="24"/>
          <w:szCs w:val="24"/>
        </w:rPr>
        <w:t>Finne</w:t>
      </w:r>
      <w:proofErr w:type="spellEnd"/>
      <w:r w:rsidRPr="00291E7C">
        <w:rPr>
          <w:rFonts w:asciiTheme="minorHAnsi" w:hAnsiTheme="minorHAnsi" w:cs="Arial"/>
          <w:b w:val="0"/>
          <w:color w:val="000000" w:themeColor="text1"/>
          <w:sz w:val="24"/>
          <w:szCs w:val="24"/>
        </w:rPr>
        <w:t xml:space="preserve"> K, </w:t>
      </w:r>
      <w:proofErr w:type="spellStart"/>
      <w:r w:rsidRPr="00291E7C">
        <w:rPr>
          <w:rFonts w:asciiTheme="minorHAnsi" w:hAnsiTheme="minorHAnsi" w:cs="Arial"/>
          <w:b w:val="0"/>
          <w:color w:val="000000" w:themeColor="text1"/>
          <w:sz w:val="24"/>
          <w:szCs w:val="24"/>
        </w:rPr>
        <w:t>Oikarinen</w:t>
      </w:r>
      <w:proofErr w:type="spellEnd"/>
      <w:r w:rsidRPr="00291E7C">
        <w:rPr>
          <w:rFonts w:asciiTheme="minorHAnsi" w:hAnsiTheme="minorHAnsi" w:cs="Arial"/>
          <w:b w:val="0"/>
          <w:color w:val="000000" w:themeColor="text1"/>
          <w:sz w:val="24"/>
          <w:szCs w:val="24"/>
        </w:rPr>
        <w:t xml:space="preserve"> K.</w:t>
      </w:r>
      <w:r w:rsidR="0064257B" w:rsidRPr="00291E7C">
        <w:rPr>
          <w:rFonts w:asciiTheme="minorHAnsi" w:hAnsiTheme="minorHAnsi" w:cs="Arial"/>
          <w:b w:val="0"/>
          <w:color w:val="000000" w:themeColor="text1"/>
          <w:sz w:val="24"/>
          <w:szCs w:val="24"/>
        </w:rPr>
        <w:t xml:space="preserve"> Incidence of complications and problems related to orthognathic surgery: a review of 655 patients. J Oral </w:t>
      </w:r>
      <w:proofErr w:type="spellStart"/>
      <w:r w:rsidR="0064257B" w:rsidRPr="00291E7C">
        <w:rPr>
          <w:rFonts w:asciiTheme="minorHAnsi" w:hAnsiTheme="minorHAnsi" w:cs="Arial"/>
          <w:b w:val="0"/>
          <w:color w:val="000000" w:themeColor="text1"/>
          <w:sz w:val="24"/>
          <w:szCs w:val="24"/>
        </w:rPr>
        <w:t>Maxillofac</w:t>
      </w:r>
      <w:proofErr w:type="spellEnd"/>
      <w:r w:rsidR="0064257B" w:rsidRPr="00291E7C">
        <w:rPr>
          <w:rFonts w:asciiTheme="minorHAnsi" w:hAnsiTheme="minorHAnsi" w:cs="Arial"/>
          <w:b w:val="0"/>
          <w:color w:val="000000" w:themeColor="text1"/>
          <w:sz w:val="24"/>
          <w:szCs w:val="24"/>
        </w:rPr>
        <w:t xml:space="preserve"> </w:t>
      </w:r>
      <w:proofErr w:type="spellStart"/>
      <w:r w:rsidR="0064257B" w:rsidRPr="00291E7C">
        <w:rPr>
          <w:rFonts w:asciiTheme="minorHAnsi" w:hAnsiTheme="minorHAnsi" w:cs="Arial"/>
          <w:b w:val="0"/>
          <w:color w:val="000000" w:themeColor="text1"/>
          <w:sz w:val="24"/>
          <w:szCs w:val="24"/>
        </w:rPr>
        <w:t>Surg</w:t>
      </w:r>
      <w:proofErr w:type="spellEnd"/>
      <w:r w:rsidR="0064257B" w:rsidRPr="00291E7C">
        <w:rPr>
          <w:rFonts w:asciiTheme="minorHAnsi" w:hAnsiTheme="minorHAnsi" w:cs="Arial"/>
          <w:b w:val="0"/>
          <w:color w:val="000000" w:themeColor="text1"/>
          <w:sz w:val="24"/>
          <w:szCs w:val="24"/>
        </w:rPr>
        <w:t xml:space="preserve"> 59:1128e1136, 2001</w:t>
      </w:r>
    </w:p>
    <w:p w14:paraId="38248184" w14:textId="77777777" w:rsidR="0064257B" w:rsidRPr="00291E7C" w:rsidRDefault="0064257B"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r w:rsidRPr="00291E7C">
        <w:rPr>
          <w:rFonts w:asciiTheme="minorHAnsi" w:hAnsiTheme="minorHAnsi" w:cs="Arial"/>
          <w:b w:val="0"/>
          <w:color w:val="000000" w:themeColor="text1"/>
          <w:sz w:val="24"/>
          <w:szCs w:val="24"/>
        </w:rPr>
        <w:t>Schmidt BL</w:t>
      </w:r>
      <w:r w:rsidR="00291E7C" w:rsidRPr="00291E7C">
        <w:rPr>
          <w:rFonts w:asciiTheme="minorHAnsi" w:hAnsiTheme="minorHAnsi" w:cs="Arial"/>
          <w:b w:val="0"/>
          <w:color w:val="000000" w:themeColor="text1"/>
          <w:sz w:val="24"/>
          <w:szCs w:val="24"/>
        </w:rPr>
        <w:t>, Perrott DH, Mahan D, Kearns G.</w:t>
      </w:r>
      <w:r w:rsidRPr="00291E7C">
        <w:rPr>
          <w:rFonts w:asciiTheme="minorHAnsi" w:hAnsiTheme="minorHAnsi" w:cs="Arial"/>
          <w:b w:val="0"/>
          <w:color w:val="000000" w:themeColor="text1"/>
          <w:sz w:val="24"/>
          <w:szCs w:val="24"/>
        </w:rPr>
        <w:t xml:space="preserve"> The removal of plates and screws after Le Fort I osteotomy. J Oral </w:t>
      </w:r>
      <w:proofErr w:type="spellStart"/>
      <w:r w:rsidRPr="00291E7C">
        <w:rPr>
          <w:rFonts w:asciiTheme="minorHAnsi" w:hAnsiTheme="minorHAnsi" w:cs="Arial"/>
          <w:b w:val="0"/>
          <w:color w:val="000000" w:themeColor="text1"/>
          <w:sz w:val="24"/>
          <w:szCs w:val="24"/>
        </w:rPr>
        <w:t>Maxillofac</w:t>
      </w:r>
      <w:proofErr w:type="spellEnd"/>
      <w:r w:rsidRPr="00291E7C">
        <w:rPr>
          <w:rFonts w:asciiTheme="minorHAnsi" w:hAnsiTheme="minorHAnsi" w:cs="Arial"/>
          <w:b w:val="0"/>
          <w:color w:val="000000" w:themeColor="text1"/>
          <w:sz w:val="24"/>
          <w:szCs w:val="24"/>
        </w:rPr>
        <w:t xml:space="preserve"> </w:t>
      </w:r>
      <w:proofErr w:type="spellStart"/>
      <w:r w:rsidRPr="00291E7C">
        <w:rPr>
          <w:rFonts w:asciiTheme="minorHAnsi" w:hAnsiTheme="minorHAnsi" w:cs="Arial"/>
          <w:b w:val="0"/>
          <w:color w:val="000000" w:themeColor="text1"/>
          <w:sz w:val="24"/>
          <w:szCs w:val="24"/>
        </w:rPr>
        <w:t>Surg</w:t>
      </w:r>
      <w:proofErr w:type="spellEnd"/>
      <w:r w:rsidRPr="00291E7C">
        <w:rPr>
          <w:rFonts w:asciiTheme="minorHAnsi" w:hAnsiTheme="minorHAnsi" w:cs="Arial"/>
          <w:b w:val="0"/>
          <w:color w:val="000000" w:themeColor="text1"/>
          <w:sz w:val="24"/>
          <w:szCs w:val="24"/>
        </w:rPr>
        <w:t xml:space="preserve"> 56: 184e188, 1998</w:t>
      </w:r>
    </w:p>
    <w:p w14:paraId="6B897CD7" w14:textId="77777777" w:rsidR="0064257B" w:rsidRPr="00291E7C" w:rsidRDefault="0064257B" w:rsidP="0064257B">
      <w:pPr>
        <w:pStyle w:val="Heading1"/>
        <w:shd w:val="clear" w:color="auto" w:fill="FFFFFF"/>
        <w:spacing w:before="120" w:after="120" w:line="300" w:lineRule="atLeast"/>
        <w:rPr>
          <w:rFonts w:asciiTheme="minorHAnsi" w:hAnsiTheme="minorHAnsi" w:cs="Arial"/>
          <w:b w:val="0"/>
          <w:color w:val="000000" w:themeColor="text1"/>
          <w:sz w:val="24"/>
          <w:szCs w:val="24"/>
        </w:rPr>
      </w:pPr>
      <w:proofErr w:type="spellStart"/>
      <w:r w:rsidRPr="00291E7C">
        <w:rPr>
          <w:rFonts w:asciiTheme="minorHAnsi" w:hAnsiTheme="minorHAnsi" w:cs="Arial"/>
          <w:b w:val="0"/>
          <w:color w:val="000000" w:themeColor="text1"/>
          <w:sz w:val="24"/>
          <w:szCs w:val="24"/>
        </w:rPr>
        <w:t>Theodossy</w:t>
      </w:r>
      <w:proofErr w:type="spellEnd"/>
      <w:r w:rsidRPr="00291E7C">
        <w:rPr>
          <w:rFonts w:asciiTheme="minorHAnsi" w:hAnsiTheme="minorHAnsi" w:cs="Arial"/>
          <w:b w:val="0"/>
          <w:color w:val="000000" w:themeColor="text1"/>
          <w:sz w:val="24"/>
          <w:szCs w:val="24"/>
        </w:rPr>
        <w:t xml:space="preserve"> </w:t>
      </w:r>
      <w:r w:rsidR="00291E7C" w:rsidRPr="00291E7C">
        <w:rPr>
          <w:rFonts w:asciiTheme="minorHAnsi" w:hAnsiTheme="minorHAnsi" w:cs="Arial"/>
          <w:b w:val="0"/>
          <w:color w:val="000000" w:themeColor="text1"/>
          <w:sz w:val="24"/>
          <w:szCs w:val="24"/>
        </w:rPr>
        <w:t>T, Jackson O, Petrie A, Lloyd T.</w:t>
      </w:r>
      <w:r w:rsidRPr="00291E7C">
        <w:rPr>
          <w:rFonts w:asciiTheme="minorHAnsi" w:hAnsiTheme="minorHAnsi" w:cs="Arial"/>
          <w:b w:val="0"/>
          <w:color w:val="000000" w:themeColor="text1"/>
          <w:sz w:val="24"/>
          <w:szCs w:val="24"/>
        </w:rPr>
        <w:t xml:space="preserve"> Risk factors contributing to symptomatic plate removal following sagittal split osteotomy. </w:t>
      </w:r>
      <w:proofErr w:type="spellStart"/>
      <w:r w:rsidRPr="00291E7C">
        <w:rPr>
          <w:rFonts w:asciiTheme="minorHAnsi" w:hAnsiTheme="minorHAnsi" w:cs="Arial"/>
          <w:b w:val="0"/>
          <w:color w:val="000000" w:themeColor="text1"/>
          <w:sz w:val="24"/>
          <w:szCs w:val="24"/>
        </w:rPr>
        <w:t>Int</w:t>
      </w:r>
      <w:proofErr w:type="spellEnd"/>
      <w:r w:rsidRPr="00291E7C">
        <w:rPr>
          <w:rFonts w:asciiTheme="minorHAnsi" w:hAnsiTheme="minorHAnsi" w:cs="Arial"/>
          <w:b w:val="0"/>
          <w:color w:val="000000" w:themeColor="text1"/>
          <w:sz w:val="24"/>
          <w:szCs w:val="24"/>
        </w:rPr>
        <w:t xml:space="preserve"> J Oral </w:t>
      </w:r>
      <w:proofErr w:type="spellStart"/>
      <w:r w:rsidRPr="00291E7C">
        <w:rPr>
          <w:rFonts w:asciiTheme="minorHAnsi" w:hAnsiTheme="minorHAnsi" w:cs="Arial"/>
          <w:b w:val="0"/>
          <w:color w:val="000000" w:themeColor="text1"/>
          <w:sz w:val="24"/>
          <w:szCs w:val="24"/>
        </w:rPr>
        <w:t>Maxillofac</w:t>
      </w:r>
      <w:proofErr w:type="spellEnd"/>
      <w:r w:rsidRPr="00291E7C">
        <w:rPr>
          <w:rFonts w:asciiTheme="minorHAnsi" w:hAnsiTheme="minorHAnsi" w:cs="Arial"/>
          <w:b w:val="0"/>
          <w:color w:val="000000" w:themeColor="text1"/>
          <w:sz w:val="24"/>
          <w:szCs w:val="24"/>
        </w:rPr>
        <w:t xml:space="preserve"> </w:t>
      </w:r>
      <w:proofErr w:type="spellStart"/>
      <w:r w:rsidRPr="00291E7C">
        <w:rPr>
          <w:rFonts w:asciiTheme="minorHAnsi" w:hAnsiTheme="minorHAnsi" w:cs="Arial"/>
          <w:b w:val="0"/>
          <w:color w:val="000000" w:themeColor="text1"/>
          <w:sz w:val="24"/>
          <w:szCs w:val="24"/>
        </w:rPr>
        <w:t>Surg</w:t>
      </w:r>
      <w:proofErr w:type="spellEnd"/>
      <w:r w:rsidRPr="00291E7C">
        <w:rPr>
          <w:rFonts w:asciiTheme="minorHAnsi" w:hAnsiTheme="minorHAnsi" w:cs="Arial"/>
          <w:b w:val="0"/>
          <w:color w:val="000000" w:themeColor="text1"/>
          <w:sz w:val="24"/>
          <w:szCs w:val="24"/>
        </w:rPr>
        <w:t xml:space="preserve"> 35:598e601, 2006</w:t>
      </w:r>
    </w:p>
    <w:p w14:paraId="148746C9" w14:textId="77777777" w:rsidR="00900EEB" w:rsidRPr="006F4C38" w:rsidRDefault="00D10C09" w:rsidP="006F4C38">
      <w:pPr>
        <w:shd w:val="clear" w:color="auto" w:fill="FFFFFF"/>
        <w:spacing w:line="264" w:lineRule="atLeast"/>
        <w:textAlignment w:val="baseline"/>
        <w:rPr>
          <w:rFonts w:eastAsia="Times New Roman" w:cs="Times New Roman"/>
          <w:iCs/>
          <w:color w:val="333333"/>
        </w:rPr>
      </w:pPr>
      <w:proofErr w:type="spellStart"/>
      <w:r w:rsidRPr="006F4C38">
        <w:rPr>
          <w:color w:val="000000" w:themeColor="text1"/>
        </w:rPr>
        <w:t>Liberati</w:t>
      </w:r>
      <w:proofErr w:type="spellEnd"/>
      <w:r w:rsidRPr="006F4C38">
        <w:rPr>
          <w:color w:val="000000" w:themeColor="text1"/>
        </w:rPr>
        <w:t xml:space="preserve"> A, Altman D, </w:t>
      </w:r>
      <w:proofErr w:type="spellStart"/>
      <w:r w:rsidRPr="006F4C38">
        <w:rPr>
          <w:color w:val="000000" w:themeColor="text1"/>
        </w:rPr>
        <w:t>Tetzlaff</w:t>
      </w:r>
      <w:proofErr w:type="spellEnd"/>
      <w:r w:rsidRPr="006F4C38">
        <w:rPr>
          <w:color w:val="000000" w:themeColor="text1"/>
        </w:rPr>
        <w:t xml:space="preserve"> J, </w:t>
      </w:r>
      <w:proofErr w:type="spellStart"/>
      <w:r w:rsidRPr="006F4C38">
        <w:rPr>
          <w:color w:val="000000" w:themeColor="text1"/>
        </w:rPr>
        <w:t>Mulrow</w:t>
      </w:r>
      <w:proofErr w:type="spellEnd"/>
      <w:r w:rsidRPr="006F4C38">
        <w:rPr>
          <w:color w:val="000000" w:themeColor="text1"/>
        </w:rPr>
        <w:t xml:space="preserve"> C, </w:t>
      </w:r>
      <w:proofErr w:type="spellStart"/>
      <w:r w:rsidRPr="006F4C38">
        <w:rPr>
          <w:rStyle w:val="name"/>
          <w:rFonts w:eastAsia="Times New Roman" w:cs="Times New Roman"/>
          <w:iCs/>
          <w:color w:val="333333"/>
          <w:bdr w:val="none" w:sz="0" w:space="0" w:color="auto" w:frame="1"/>
        </w:rPr>
        <w:t>Gøtzsche</w:t>
      </w:r>
      <w:proofErr w:type="spellEnd"/>
      <w:r w:rsidRPr="006F4C38">
        <w:rPr>
          <w:rStyle w:val="name"/>
          <w:rFonts w:eastAsia="Times New Roman" w:cs="Times New Roman"/>
          <w:iCs/>
          <w:color w:val="333333"/>
          <w:bdr w:val="none" w:sz="0" w:space="0" w:color="auto" w:frame="1"/>
        </w:rPr>
        <w:t xml:space="preserve"> P, I</w:t>
      </w:r>
      <w:r w:rsidRPr="006F4C38">
        <w:rPr>
          <w:rFonts w:eastAsia="Times New Roman" w:cs="Times New Roman"/>
          <w:iCs/>
          <w:color w:val="333333"/>
          <w:bdr w:val="none" w:sz="0" w:space="0" w:color="auto" w:frame="1"/>
        </w:rPr>
        <w:t xml:space="preserve">oannidis J, </w:t>
      </w:r>
      <w:r w:rsidR="006F4C38" w:rsidRPr="006F4C38">
        <w:rPr>
          <w:rFonts w:eastAsia="Times New Roman" w:cs="Times New Roman"/>
          <w:iCs/>
          <w:color w:val="333333"/>
          <w:bdr w:val="none" w:sz="0" w:space="0" w:color="auto" w:frame="1"/>
        </w:rPr>
        <w:t xml:space="preserve">Clarke M, </w:t>
      </w:r>
      <w:proofErr w:type="spellStart"/>
      <w:r w:rsidR="006F4C38" w:rsidRPr="006F4C38">
        <w:rPr>
          <w:rFonts w:eastAsia="Times New Roman" w:cs="Times New Roman"/>
          <w:iCs/>
          <w:color w:val="333333"/>
          <w:bdr w:val="none" w:sz="0" w:space="0" w:color="auto" w:frame="1"/>
        </w:rPr>
        <w:t>Devereaux</w:t>
      </w:r>
      <w:proofErr w:type="spellEnd"/>
      <w:r w:rsidR="006F4C38" w:rsidRPr="006F4C38">
        <w:rPr>
          <w:rFonts w:eastAsia="Times New Roman" w:cs="Times New Roman"/>
          <w:iCs/>
          <w:color w:val="333333"/>
        </w:rPr>
        <w:t xml:space="preserve"> PJ, </w:t>
      </w:r>
      <w:proofErr w:type="spellStart"/>
      <w:r w:rsidR="006F4C38" w:rsidRPr="006F4C38">
        <w:rPr>
          <w:rFonts w:eastAsia="Times New Roman" w:cs="Times New Roman"/>
          <w:iCs/>
          <w:color w:val="333333"/>
          <w:bdr w:val="none" w:sz="0" w:space="0" w:color="auto" w:frame="1"/>
        </w:rPr>
        <w:t>Kleijnen</w:t>
      </w:r>
      <w:proofErr w:type="spellEnd"/>
      <w:r w:rsidR="006F4C38" w:rsidRPr="006F4C38">
        <w:rPr>
          <w:rFonts w:eastAsia="Times New Roman" w:cs="Times New Roman"/>
          <w:iCs/>
          <w:color w:val="333333"/>
          <w:bdr w:val="none" w:sz="0" w:space="0" w:color="auto" w:frame="1"/>
        </w:rPr>
        <w:t xml:space="preserve"> J, </w:t>
      </w:r>
      <w:proofErr w:type="spellStart"/>
      <w:r w:rsidR="006F4C38" w:rsidRPr="006F4C38">
        <w:rPr>
          <w:rFonts w:eastAsia="Times New Roman" w:cs="Times New Roman"/>
          <w:iCs/>
          <w:color w:val="333333"/>
          <w:bdr w:val="none" w:sz="0" w:space="0" w:color="auto" w:frame="1"/>
        </w:rPr>
        <w:t>Moher</w:t>
      </w:r>
      <w:proofErr w:type="spellEnd"/>
      <w:r w:rsidR="006F4C38" w:rsidRPr="006F4C38">
        <w:rPr>
          <w:rFonts w:eastAsia="Times New Roman" w:cs="Times New Roman"/>
          <w:iCs/>
          <w:color w:val="333333"/>
          <w:bdr w:val="none" w:sz="0" w:space="0" w:color="auto" w:frame="1"/>
        </w:rPr>
        <w:t xml:space="preserve"> D. </w:t>
      </w:r>
      <w:r w:rsidRPr="006F4C38">
        <w:rPr>
          <w:color w:val="000000" w:themeColor="text1"/>
        </w:rPr>
        <w:t>The PRISMA statement for reporting systematic reviews and meta-analyses of studies that evaluate healthcare interventions: explanation and elaboration</w:t>
      </w:r>
      <w:r w:rsidR="006F4C38" w:rsidRPr="006F4C38">
        <w:rPr>
          <w:rFonts w:eastAsia="Times New Roman" w:cs="Times New Roman"/>
          <w:iCs/>
          <w:color w:val="333333"/>
        </w:rPr>
        <w:t xml:space="preserve">. </w:t>
      </w:r>
      <w:r w:rsidRPr="006F4C38">
        <w:rPr>
          <w:color w:val="000000" w:themeColor="text1"/>
        </w:rPr>
        <w:t>BMJ 2009; 339.b2700</w:t>
      </w:r>
    </w:p>
    <w:p w14:paraId="24B3381B" w14:textId="77777777" w:rsidR="008E74A8" w:rsidRPr="00291E7C" w:rsidRDefault="008E74A8">
      <w:pPr>
        <w:rPr>
          <w:color w:val="000000" w:themeColor="text1"/>
        </w:rPr>
      </w:pPr>
    </w:p>
    <w:p w14:paraId="30D479C0" w14:textId="624F87C6" w:rsidR="00415C95" w:rsidRPr="00DD1365" w:rsidRDefault="00415C95" w:rsidP="00415C95">
      <w:pPr>
        <w:rPr>
          <w:rFonts w:eastAsia="Times New Roman" w:cs="Times New Roman"/>
        </w:rPr>
      </w:pPr>
      <w:proofErr w:type="spellStart"/>
      <w:r w:rsidRPr="00DD1365">
        <w:rPr>
          <w:rFonts w:eastAsia="Times New Roman" w:cs="Times New Roman"/>
        </w:rPr>
        <w:t>Naini</w:t>
      </w:r>
      <w:proofErr w:type="spellEnd"/>
      <w:r w:rsidRPr="00DD1365">
        <w:rPr>
          <w:rFonts w:eastAsia="Times New Roman" w:cs="Times New Roman"/>
        </w:rPr>
        <w:t xml:space="preserve"> F, Gill D. </w:t>
      </w:r>
      <w:proofErr w:type="spellStart"/>
      <w:r w:rsidRPr="00DD1365">
        <w:rPr>
          <w:rFonts w:eastAsia="Times New Roman" w:cs="Times New Roman"/>
        </w:rPr>
        <w:t>Orthognathic</w:t>
      </w:r>
      <w:proofErr w:type="spellEnd"/>
      <w:r w:rsidRPr="00DD1365">
        <w:rPr>
          <w:rFonts w:eastAsia="Times New Roman" w:cs="Times New Roman"/>
        </w:rPr>
        <w:t xml:space="preserve"> surgery. </w:t>
      </w:r>
      <w:proofErr w:type="gramStart"/>
      <w:r w:rsidRPr="00DD1365">
        <w:rPr>
          <w:rFonts w:eastAsia="Times New Roman" w:cs="Times New Roman"/>
        </w:rPr>
        <w:t>Principles, planning and practice.</w:t>
      </w:r>
      <w:proofErr w:type="gramEnd"/>
      <w:r w:rsidRPr="00DD1365">
        <w:rPr>
          <w:rFonts w:eastAsia="Times New Roman" w:cs="Times New Roman"/>
        </w:rPr>
        <w:t xml:space="preserve"> </w:t>
      </w:r>
      <w:proofErr w:type="gramStart"/>
      <w:r w:rsidRPr="00DD1365">
        <w:rPr>
          <w:rFonts w:eastAsia="Times New Roman" w:cs="Times New Roman"/>
        </w:rPr>
        <w:t>1</w:t>
      </w:r>
      <w:r w:rsidRPr="00DD1365">
        <w:rPr>
          <w:rFonts w:eastAsia="Times New Roman" w:cs="Times New Roman"/>
          <w:vertAlign w:val="superscript"/>
        </w:rPr>
        <w:t>st</w:t>
      </w:r>
      <w:r w:rsidRPr="00DD1365">
        <w:rPr>
          <w:rFonts w:eastAsia="Times New Roman" w:cs="Times New Roman"/>
        </w:rPr>
        <w:t xml:space="preserve"> ed. Chichester, UK.</w:t>
      </w:r>
      <w:proofErr w:type="gramEnd"/>
      <w:r w:rsidRPr="00DD1365">
        <w:rPr>
          <w:rFonts w:eastAsia="Times New Roman" w:cs="Times New Roman"/>
        </w:rPr>
        <w:t xml:space="preserve"> </w:t>
      </w:r>
      <w:proofErr w:type="gramStart"/>
      <w:r w:rsidRPr="00DD1365">
        <w:rPr>
          <w:rFonts w:eastAsia="Times New Roman" w:cs="Times New Roman"/>
        </w:rPr>
        <w:t>John Wiley and sons.</w:t>
      </w:r>
      <w:proofErr w:type="gramEnd"/>
      <w:r w:rsidRPr="00DD1365">
        <w:rPr>
          <w:rFonts w:eastAsia="Times New Roman" w:cs="Times New Roman"/>
        </w:rPr>
        <w:t xml:space="preserve"> </w:t>
      </w:r>
      <w:proofErr w:type="gramStart"/>
      <w:r w:rsidRPr="00DD1365">
        <w:rPr>
          <w:rFonts w:eastAsia="Times New Roman" w:cs="Times New Roman"/>
        </w:rPr>
        <w:t>2017: 1-2.</w:t>
      </w:r>
      <w:proofErr w:type="gramEnd"/>
      <w:r w:rsidRPr="00DD1365">
        <w:rPr>
          <w:rFonts w:eastAsia="Times New Roman" w:cs="Times New Roman"/>
        </w:rPr>
        <w:t xml:space="preserve"> </w:t>
      </w:r>
    </w:p>
    <w:p w14:paraId="0A7C284C" w14:textId="77777777" w:rsidR="008E74A8" w:rsidRDefault="008E74A8">
      <w:pPr>
        <w:rPr>
          <w:color w:val="000000" w:themeColor="text1"/>
        </w:rPr>
      </w:pPr>
    </w:p>
    <w:p w14:paraId="75837A19" w14:textId="77777777" w:rsidR="00061A37" w:rsidRPr="00291E7C" w:rsidRDefault="00061A37">
      <w:pPr>
        <w:rPr>
          <w:color w:val="000000" w:themeColor="text1"/>
        </w:rPr>
      </w:pPr>
    </w:p>
    <w:sectPr w:rsidR="00061A37" w:rsidRPr="00291E7C" w:rsidSect="004B65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3CD"/>
    <w:multiLevelType w:val="multilevel"/>
    <w:tmpl w:val="81AE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A461D"/>
    <w:multiLevelType w:val="multilevel"/>
    <w:tmpl w:val="2E7E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14BA0"/>
    <w:multiLevelType w:val="multilevel"/>
    <w:tmpl w:val="F326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6A2CA2"/>
    <w:multiLevelType w:val="multilevel"/>
    <w:tmpl w:val="F574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80640"/>
    <w:multiLevelType w:val="multilevel"/>
    <w:tmpl w:val="CE74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8"/>
    <w:rsid w:val="00026A57"/>
    <w:rsid w:val="00030919"/>
    <w:rsid w:val="00054B7D"/>
    <w:rsid w:val="00061A37"/>
    <w:rsid w:val="00077055"/>
    <w:rsid w:val="000A208E"/>
    <w:rsid w:val="000C7A2E"/>
    <w:rsid w:val="000E02C3"/>
    <w:rsid w:val="001142C4"/>
    <w:rsid w:val="001A4D49"/>
    <w:rsid w:val="001B13B9"/>
    <w:rsid w:val="001D5743"/>
    <w:rsid w:val="001D580B"/>
    <w:rsid w:val="00251811"/>
    <w:rsid w:val="00256A0A"/>
    <w:rsid w:val="00283FD1"/>
    <w:rsid w:val="00291E7C"/>
    <w:rsid w:val="002A2C9C"/>
    <w:rsid w:val="002B2C85"/>
    <w:rsid w:val="002D2362"/>
    <w:rsid w:val="002E49F8"/>
    <w:rsid w:val="003001C7"/>
    <w:rsid w:val="00300FF0"/>
    <w:rsid w:val="00341831"/>
    <w:rsid w:val="00380299"/>
    <w:rsid w:val="00381C03"/>
    <w:rsid w:val="00384345"/>
    <w:rsid w:val="003C29E0"/>
    <w:rsid w:val="003D4729"/>
    <w:rsid w:val="003E0018"/>
    <w:rsid w:val="003E733E"/>
    <w:rsid w:val="00415C95"/>
    <w:rsid w:val="00423A3C"/>
    <w:rsid w:val="0042604D"/>
    <w:rsid w:val="00444857"/>
    <w:rsid w:val="004541B2"/>
    <w:rsid w:val="004B659C"/>
    <w:rsid w:val="00511E08"/>
    <w:rsid w:val="005920C4"/>
    <w:rsid w:val="005B04D6"/>
    <w:rsid w:val="005C3FBE"/>
    <w:rsid w:val="005D5539"/>
    <w:rsid w:val="006109D8"/>
    <w:rsid w:val="00620B58"/>
    <w:rsid w:val="00627FA4"/>
    <w:rsid w:val="0064257B"/>
    <w:rsid w:val="0064753C"/>
    <w:rsid w:val="006D65F4"/>
    <w:rsid w:val="006F4C38"/>
    <w:rsid w:val="00744B7D"/>
    <w:rsid w:val="007611D3"/>
    <w:rsid w:val="007851BD"/>
    <w:rsid w:val="00791BF8"/>
    <w:rsid w:val="008C5E15"/>
    <w:rsid w:val="008E74A8"/>
    <w:rsid w:val="00900EEB"/>
    <w:rsid w:val="00904DC7"/>
    <w:rsid w:val="009203D6"/>
    <w:rsid w:val="009965DC"/>
    <w:rsid w:val="009B2A11"/>
    <w:rsid w:val="009D4343"/>
    <w:rsid w:val="00A151B8"/>
    <w:rsid w:val="00A2056B"/>
    <w:rsid w:val="00A4183E"/>
    <w:rsid w:val="00A41DE3"/>
    <w:rsid w:val="00A55218"/>
    <w:rsid w:val="00A66052"/>
    <w:rsid w:val="00A81DEC"/>
    <w:rsid w:val="00A92E35"/>
    <w:rsid w:val="00AC5A1B"/>
    <w:rsid w:val="00AE25D0"/>
    <w:rsid w:val="00AF7FAC"/>
    <w:rsid w:val="00B43A0E"/>
    <w:rsid w:val="00BB62AC"/>
    <w:rsid w:val="00BC3B3D"/>
    <w:rsid w:val="00C10FBA"/>
    <w:rsid w:val="00C24A37"/>
    <w:rsid w:val="00C400C4"/>
    <w:rsid w:val="00C60F3C"/>
    <w:rsid w:val="00C631C6"/>
    <w:rsid w:val="00C72767"/>
    <w:rsid w:val="00CA2E36"/>
    <w:rsid w:val="00D10A72"/>
    <w:rsid w:val="00D10C09"/>
    <w:rsid w:val="00D3450F"/>
    <w:rsid w:val="00D46ECF"/>
    <w:rsid w:val="00D95E11"/>
    <w:rsid w:val="00E04C27"/>
    <w:rsid w:val="00E17053"/>
    <w:rsid w:val="00E246C4"/>
    <w:rsid w:val="00E56F77"/>
    <w:rsid w:val="00E65F4F"/>
    <w:rsid w:val="00E81AD8"/>
    <w:rsid w:val="00EC2B34"/>
    <w:rsid w:val="00EC3738"/>
    <w:rsid w:val="00F1539E"/>
    <w:rsid w:val="00F2032C"/>
    <w:rsid w:val="00F42F85"/>
    <w:rsid w:val="00F94F2B"/>
    <w:rsid w:val="00FF5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A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B7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218"/>
    <w:pPr>
      <w:spacing w:before="100" w:beforeAutospacing="1" w:after="100" w:afterAutospacing="1"/>
    </w:pPr>
    <w:rPr>
      <w:rFonts w:ascii="Times" w:hAnsi="Times" w:cs="Times New Roman"/>
      <w:sz w:val="20"/>
      <w:szCs w:val="20"/>
    </w:rPr>
  </w:style>
  <w:style w:type="character" w:customStyle="1" w:styleId="element-citation">
    <w:name w:val="element-citation"/>
    <w:basedOn w:val="DefaultParagraphFont"/>
    <w:rsid w:val="005D5539"/>
  </w:style>
  <w:style w:type="character" w:customStyle="1" w:styleId="ref-journal">
    <w:name w:val="ref-journal"/>
    <w:basedOn w:val="DefaultParagraphFont"/>
    <w:rsid w:val="005D5539"/>
  </w:style>
  <w:style w:type="character" w:customStyle="1" w:styleId="ref-vol">
    <w:name w:val="ref-vol"/>
    <w:basedOn w:val="DefaultParagraphFont"/>
    <w:rsid w:val="005D5539"/>
  </w:style>
  <w:style w:type="character" w:customStyle="1" w:styleId="nowrap">
    <w:name w:val="nowrap"/>
    <w:basedOn w:val="DefaultParagraphFont"/>
    <w:rsid w:val="005D5539"/>
  </w:style>
  <w:style w:type="character" w:styleId="Hyperlink">
    <w:name w:val="Hyperlink"/>
    <w:basedOn w:val="DefaultParagraphFont"/>
    <w:uiPriority w:val="99"/>
    <w:semiHidden/>
    <w:unhideWhenUsed/>
    <w:rsid w:val="005D5539"/>
    <w:rPr>
      <w:color w:val="0000FF"/>
      <w:u w:val="single"/>
    </w:rPr>
  </w:style>
  <w:style w:type="table" w:styleId="TableGrid">
    <w:name w:val="Table Grid"/>
    <w:basedOn w:val="TableNormal"/>
    <w:uiPriority w:val="59"/>
    <w:rsid w:val="00AC5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4B7D"/>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D10C09"/>
  </w:style>
  <w:style w:type="paragraph" w:styleId="BalloonText">
    <w:name w:val="Balloon Text"/>
    <w:basedOn w:val="Normal"/>
    <w:link w:val="BalloonTextChar"/>
    <w:uiPriority w:val="99"/>
    <w:semiHidden/>
    <w:unhideWhenUsed/>
    <w:rsid w:val="006F4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C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B7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218"/>
    <w:pPr>
      <w:spacing w:before="100" w:beforeAutospacing="1" w:after="100" w:afterAutospacing="1"/>
    </w:pPr>
    <w:rPr>
      <w:rFonts w:ascii="Times" w:hAnsi="Times" w:cs="Times New Roman"/>
      <w:sz w:val="20"/>
      <w:szCs w:val="20"/>
    </w:rPr>
  </w:style>
  <w:style w:type="character" w:customStyle="1" w:styleId="element-citation">
    <w:name w:val="element-citation"/>
    <w:basedOn w:val="DefaultParagraphFont"/>
    <w:rsid w:val="005D5539"/>
  </w:style>
  <w:style w:type="character" w:customStyle="1" w:styleId="ref-journal">
    <w:name w:val="ref-journal"/>
    <w:basedOn w:val="DefaultParagraphFont"/>
    <w:rsid w:val="005D5539"/>
  </w:style>
  <w:style w:type="character" w:customStyle="1" w:styleId="ref-vol">
    <w:name w:val="ref-vol"/>
    <w:basedOn w:val="DefaultParagraphFont"/>
    <w:rsid w:val="005D5539"/>
  </w:style>
  <w:style w:type="character" w:customStyle="1" w:styleId="nowrap">
    <w:name w:val="nowrap"/>
    <w:basedOn w:val="DefaultParagraphFont"/>
    <w:rsid w:val="005D5539"/>
  </w:style>
  <w:style w:type="character" w:styleId="Hyperlink">
    <w:name w:val="Hyperlink"/>
    <w:basedOn w:val="DefaultParagraphFont"/>
    <w:uiPriority w:val="99"/>
    <w:semiHidden/>
    <w:unhideWhenUsed/>
    <w:rsid w:val="005D5539"/>
    <w:rPr>
      <w:color w:val="0000FF"/>
      <w:u w:val="single"/>
    </w:rPr>
  </w:style>
  <w:style w:type="table" w:styleId="TableGrid">
    <w:name w:val="Table Grid"/>
    <w:basedOn w:val="TableNormal"/>
    <w:uiPriority w:val="59"/>
    <w:rsid w:val="00AC5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4B7D"/>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D10C09"/>
  </w:style>
  <w:style w:type="paragraph" w:styleId="BalloonText">
    <w:name w:val="Balloon Text"/>
    <w:basedOn w:val="Normal"/>
    <w:link w:val="BalloonTextChar"/>
    <w:uiPriority w:val="99"/>
    <w:semiHidden/>
    <w:unhideWhenUsed/>
    <w:rsid w:val="006F4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C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9440">
      <w:bodyDiv w:val="1"/>
      <w:marLeft w:val="0"/>
      <w:marRight w:val="0"/>
      <w:marTop w:val="0"/>
      <w:marBottom w:val="0"/>
      <w:divBdr>
        <w:top w:val="none" w:sz="0" w:space="0" w:color="auto"/>
        <w:left w:val="none" w:sz="0" w:space="0" w:color="auto"/>
        <w:bottom w:val="none" w:sz="0" w:space="0" w:color="auto"/>
        <w:right w:val="none" w:sz="0" w:space="0" w:color="auto"/>
      </w:divBdr>
    </w:div>
    <w:div w:id="415245152">
      <w:bodyDiv w:val="1"/>
      <w:marLeft w:val="0"/>
      <w:marRight w:val="0"/>
      <w:marTop w:val="0"/>
      <w:marBottom w:val="0"/>
      <w:divBdr>
        <w:top w:val="none" w:sz="0" w:space="0" w:color="auto"/>
        <w:left w:val="none" w:sz="0" w:space="0" w:color="auto"/>
        <w:bottom w:val="none" w:sz="0" w:space="0" w:color="auto"/>
        <w:right w:val="none" w:sz="0" w:space="0" w:color="auto"/>
      </w:divBdr>
    </w:div>
    <w:div w:id="481894597">
      <w:bodyDiv w:val="1"/>
      <w:marLeft w:val="0"/>
      <w:marRight w:val="0"/>
      <w:marTop w:val="0"/>
      <w:marBottom w:val="0"/>
      <w:divBdr>
        <w:top w:val="none" w:sz="0" w:space="0" w:color="auto"/>
        <w:left w:val="none" w:sz="0" w:space="0" w:color="auto"/>
        <w:bottom w:val="none" w:sz="0" w:space="0" w:color="auto"/>
        <w:right w:val="none" w:sz="0" w:space="0" w:color="auto"/>
      </w:divBdr>
    </w:div>
    <w:div w:id="518662289">
      <w:bodyDiv w:val="1"/>
      <w:marLeft w:val="0"/>
      <w:marRight w:val="0"/>
      <w:marTop w:val="0"/>
      <w:marBottom w:val="0"/>
      <w:divBdr>
        <w:top w:val="none" w:sz="0" w:space="0" w:color="auto"/>
        <w:left w:val="none" w:sz="0" w:space="0" w:color="auto"/>
        <w:bottom w:val="none" w:sz="0" w:space="0" w:color="auto"/>
        <w:right w:val="none" w:sz="0" w:space="0" w:color="auto"/>
      </w:divBdr>
    </w:div>
    <w:div w:id="720666193">
      <w:bodyDiv w:val="1"/>
      <w:marLeft w:val="0"/>
      <w:marRight w:val="0"/>
      <w:marTop w:val="0"/>
      <w:marBottom w:val="0"/>
      <w:divBdr>
        <w:top w:val="none" w:sz="0" w:space="0" w:color="auto"/>
        <w:left w:val="none" w:sz="0" w:space="0" w:color="auto"/>
        <w:bottom w:val="none" w:sz="0" w:space="0" w:color="auto"/>
        <w:right w:val="none" w:sz="0" w:space="0" w:color="auto"/>
      </w:divBdr>
    </w:div>
    <w:div w:id="793409430">
      <w:bodyDiv w:val="1"/>
      <w:marLeft w:val="0"/>
      <w:marRight w:val="0"/>
      <w:marTop w:val="0"/>
      <w:marBottom w:val="0"/>
      <w:divBdr>
        <w:top w:val="none" w:sz="0" w:space="0" w:color="auto"/>
        <w:left w:val="none" w:sz="0" w:space="0" w:color="auto"/>
        <w:bottom w:val="none" w:sz="0" w:space="0" w:color="auto"/>
        <w:right w:val="none" w:sz="0" w:space="0" w:color="auto"/>
      </w:divBdr>
    </w:div>
    <w:div w:id="825973385">
      <w:bodyDiv w:val="1"/>
      <w:marLeft w:val="0"/>
      <w:marRight w:val="0"/>
      <w:marTop w:val="0"/>
      <w:marBottom w:val="0"/>
      <w:divBdr>
        <w:top w:val="none" w:sz="0" w:space="0" w:color="auto"/>
        <w:left w:val="none" w:sz="0" w:space="0" w:color="auto"/>
        <w:bottom w:val="none" w:sz="0" w:space="0" w:color="auto"/>
        <w:right w:val="none" w:sz="0" w:space="0" w:color="auto"/>
      </w:divBdr>
    </w:div>
    <w:div w:id="1039357718">
      <w:bodyDiv w:val="1"/>
      <w:marLeft w:val="0"/>
      <w:marRight w:val="0"/>
      <w:marTop w:val="0"/>
      <w:marBottom w:val="0"/>
      <w:divBdr>
        <w:top w:val="none" w:sz="0" w:space="0" w:color="auto"/>
        <w:left w:val="none" w:sz="0" w:space="0" w:color="auto"/>
        <w:bottom w:val="none" w:sz="0" w:space="0" w:color="auto"/>
        <w:right w:val="none" w:sz="0" w:space="0" w:color="auto"/>
      </w:divBdr>
    </w:div>
    <w:div w:id="1099446854">
      <w:bodyDiv w:val="1"/>
      <w:marLeft w:val="0"/>
      <w:marRight w:val="0"/>
      <w:marTop w:val="0"/>
      <w:marBottom w:val="0"/>
      <w:divBdr>
        <w:top w:val="none" w:sz="0" w:space="0" w:color="auto"/>
        <w:left w:val="none" w:sz="0" w:space="0" w:color="auto"/>
        <w:bottom w:val="none" w:sz="0" w:space="0" w:color="auto"/>
        <w:right w:val="none" w:sz="0" w:space="0" w:color="auto"/>
      </w:divBdr>
    </w:div>
    <w:div w:id="1197088351">
      <w:bodyDiv w:val="1"/>
      <w:marLeft w:val="0"/>
      <w:marRight w:val="0"/>
      <w:marTop w:val="0"/>
      <w:marBottom w:val="0"/>
      <w:divBdr>
        <w:top w:val="none" w:sz="0" w:space="0" w:color="auto"/>
        <w:left w:val="none" w:sz="0" w:space="0" w:color="auto"/>
        <w:bottom w:val="none" w:sz="0" w:space="0" w:color="auto"/>
        <w:right w:val="none" w:sz="0" w:space="0" w:color="auto"/>
      </w:divBdr>
    </w:div>
    <w:div w:id="1240629134">
      <w:bodyDiv w:val="1"/>
      <w:marLeft w:val="0"/>
      <w:marRight w:val="0"/>
      <w:marTop w:val="0"/>
      <w:marBottom w:val="0"/>
      <w:divBdr>
        <w:top w:val="none" w:sz="0" w:space="0" w:color="auto"/>
        <w:left w:val="none" w:sz="0" w:space="0" w:color="auto"/>
        <w:bottom w:val="none" w:sz="0" w:space="0" w:color="auto"/>
        <w:right w:val="none" w:sz="0" w:space="0" w:color="auto"/>
      </w:divBdr>
    </w:div>
    <w:div w:id="1301769905">
      <w:bodyDiv w:val="1"/>
      <w:marLeft w:val="0"/>
      <w:marRight w:val="0"/>
      <w:marTop w:val="0"/>
      <w:marBottom w:val="0"/>
      <w:divBdr>
        <w:top w:val="none" w:sz="0" w:space="0" w:color="auto"/>
        <w:left w:val="none" w:sz="0" w:space="0" w:color="auto"/>
        <w:bottom w:val="none" w:sz="0" w:space="0" w:color="auto"/>
        <w:right w:val="none" w:sz="0" w:space="0" w:color="auto"/>
      </w:divBdr>
    </w:div>
    <w:div w:id="1396316015">
      <w:bodyDiv w:val="1"/>
      <w:marLeft w:val="0"/>
      <w:marRight w:val="0"/>
      <w:marTop w:val="0"/>
      <w:marBottom w:val="0"/>
      <w:divBdr>
        <w:top w:val="none" w:sz="0" w:space="0" w:color="auto"/>
        <w:left w:val="none" w:sz="0" w:space="0" w:color="auto"/>
        <w:bottom w:val="none" w:sz="0" w:space="0" w:color="auto"/>
        <w:right w:val="none" w:sz="0" w:space="0" w:color="auto"/>
      </w:divBdr>
    </w:div>
    <w:div w:id="1451052795">
      <w:bodyDiv w:val="1"/>
      <w:marLeft w:val="0"/>
      <w:marRight w:val="0"/>
      <w:marTop w:val="0"/>
      <w:marBottom w:val="0"/>
      <w:divBdr>
        <w:top w:val="none" w:sz="0" w:space="0" w:color="auto"/>
        <w:left w:val="none" w:sz="0" w:space="0" w:color="auto"/>
        <w:bottom w:val="none" w:sz="0" w:space="0" w:color="auto"/>
        <w:right w:val="none" w:sz="0" w:space="0" w:color="auto"/>
      </w:divBdr>
    </w:div>
    <w:div w:id="1513757925">
      <w:bodyDiv w:val="1"/>
      <w:marLeft w:val="0"/>
      <w:marRight w:val="0"/>
      <w:marTop w:val="0"/>
      <w:marBottom w:val="0"/>
      <w:divBdr>
        <w:top w:val="none" w:sz="0" w:space="0" w:color="auto"/>
        <w:left w:val="none" w:sz="0" w:space="0" w:color="auto"/>
        <w:bottom w:val="none" w:sz="0" w:space="0" w:color="auto"/>
        <w:right w:val="none" w:sz="0" w:space="0" w:color="auto"/>
      </w:divBdr>
    </w:div>
    <w:div w:id="1527332469">
      <w:bodyDiv w:val="1"/>
      <w:marLeft w:val="0"/>
      <w:marRight w:val="0"/>
      <w:marTop w:val="0"/>
      <w:marBottom w:val="0"/>
      <w:divBdr>
        <w:top w:val="none" w:sz="0" w:space="0" w:color="auto"/>
        <w:left w:val="none" w:sz="0" w:space="0" w:color="auto"/>
        <w:bottom w:val="none" w:sz="0" w:space="0" w:color="auto"/>
        <w:right w:val="none" w:sz="0" w:space="0" w:color="auto"/>
      </w:divBdr>
    </w:div>
    <w:div w:id="1775635132">
      <w:bodyDiv w:val="1"/>
      <w:marLeft w:val="0"/>
      <w:marRight w:val="0"/>
      <w:marTop w:val="0"/>
      <w:marBottom w:val="0"/>
      <w:divBdr>
        <w:top w:val="none" w:sz="0" w:space="0" w:color="auto"/>
        <w:left w:val="none" w:sz="0" w:space="0" w:color="auto"/>
        <w:bottom w:val="none" w:sz="0" w:space="0" w:color="auto"/>
        <w:right w:val="none" w:sz="0" w:space="0" w:color="auto"/>
      </w:divBdr>
    </w:div>
    <w:div w:id="1778795678">
      <w:bodyDiv w:val="1"/>
      <w:marLeft w:val="0"/>
      <w:marRight w:val="0"/>
      <w:marTop w:val="0"/>
      <w:marBottom w:val="0"/>
      <w:divBdr>
        <w:top w:val="none" w:sz="0" w:space="0" w:color="auto"/>
        <w:left w:val="none" w:sz="0" w:space="0" w:color="auto"/>
        <w:bottom w:val="none" w:sz="0" w:space="0" w:color="auto"/>
        <w:right w:val="none" w:sz="0" w:space="0" w:color="auto"/>
      </w:divBdr>
    </w:div>
    <w:div w:id="2122457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1654664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ncbi.nlm.nih.gov/pubmed/?term=Alpha%20C%5BAuthor%5D&amp;cauthor=true&amp;cauthor_uid=16546646" TargetMode="External"/><Relationship Id="rId8" Type="http://schemas.openxmlformats.org/officeDocument/2006/relationships/hyperlink" Target="https://www.ncbi.nlm.nih.gov/pubmed/?term=O%27Ryan%20F%5BAuthor%5D&amp;cauthor=true&amp;cauthor_uid=16546646" TargetMode="External"/><Relationship Id="rId9" Type="http://schemas.openxmlformats.org/officeDocument/2006/relationships/hyperlink" Target="https://www.ncbi.nlm.nih.gov/pubmed/?term=Silva%20A%5BAuthor%5D&amp;cauthor=true&amp;cauthor_uid=16546646" TargetMode="External"/><Relationship Id="rId10" Type="http://schemas.openxmlformats.org/officeDocument/2006/relationships/hyperlink" Target="https://www.ncbi.nlm.nih.gov/pubmed/?term=Poor%20D%5BAuthor%5D&amp;cauthor=true&amp;cauthor_uid=16546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B6B9-AAE5-FB47-B65D-CC78D02D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2865</Words>
  <Characters>16337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Kent</dc:creator>
  <cp:keywords/>
  <dc:description/>
  <cp:lastModifiedBy>Sam Kent</cp:lastModifiedBy>
  <cp:revision>9</cp:revision>
  <dcterms:created xsi:type="dcterms:W3CDTF">2017-08-29T10:56:00Z</dcterms:created>
  <dcterms:modified xsi:type="dcterms:W3CDTF">2018-01-07T21:45:00Z</dcterms:modified>
</cp:coreProperties>
</file>