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54667493"/>
        <w:docPartObj>
          <w:docPartGallery w:val="Cover Pages"/>
          <w:docPartUnique/>
        </w:docPartObj>
      </w:sdtPr>
      <w:sdtEndPr/>
      <w:sdtContent>
        <w:p w14:paraId="5E0A6674" w14:textId="72B88050" w:rsidR="00F73A29" w:rsidRDefault="00F73A29"/>
        <w:p w14:paraId="6E11FF30" w14:textId="571573B1" w:rsidR="00F90977" w:rsidRDefault="00F73A29" w:rsidP="00F90977">
          <w:pPr>
            <w:pStyle w:val="NoSpacing"/>
            <w:jc w:val="right"/>
          </w:pPr>
          <w:r>
            <w:rPr>
              <w:noProof/>
            </w:rPr>
            <mc:AlternateContent>
              <mc:Choice Requires="wps">
                <w:drawing>
                  <wp:anchor distT="0" distB="0" distL="114300" distR="114300" simplePos="0" relativeHeight="251662336" behindDoc="0" locked="0" layoutInCell="1" allowOverlap="1" wp14:anchorId="145E7AB2" wp14:editId="5EA80470">
                    <wp:simplePos x="0" y="0"/>
                    <wp:positionH relativeFrom="margin">
                      <wp:align>center</wp:align>
                    </wp:positionH>
                    <wp:positionV relativeFrom="page">
                      <wp:posOffset>1652270</wp:posOffset>
                    </wp:positionV>
                    <wp:extent cx="3660775" cy="3651250"/>
                    <wp:effectExtent l="0" t="0" r="13335"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47B44CB" w14:textId="24471394" w:rsidR="00F73A29" w:rsidRDefault="00F90977">
                                    <w:pPr>
                                      <w:pStyle w:val="NoSpacing"/>
                                      <w:jc w:val="right"/>
                                      <w:rPr>
                                        <w:caps/>
                                        <w:color w:val="323E4F" w:themeColor="text2" w:themeShade="BF"/>
                                        <w:sz w:val="40"/>
                                        <w:szCs w:val="40"/>
                                      </w:rPr>
                                    </w:pPr>
                                    <w:r>
                                      <w:rPr>
                                        <w:caps/>
                                        <w:color w:val="323E4F" w:themeColor="text2" w:themeShade="BF"/>
                                        <w:sz w:val="40"/>
                                        <w:szCs w:val="40"/>
                                      </w:rPr>
                                      <w:t>BAOMS bursary 2023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45E7AB2" id="_x0000_t202" coordsize="21600,21600" o:spt="202" path="m,l,21600r21600,l21600,xe">
                    <v:stroke joinstyle="miter"/>
                    <v:path gradientshapeok="t" o:connecttype="rect"/>
                  </v:shapetype>
                  <v:shape id="Text Box 111" o:spid="_x0000_s1026" type="#_x0000_t202" style="position:absolute;left:0;text-align:left;margin-left:0;margin-top:130.1pt;width:288.25pt;height:287.5pt;z-index:251662336;visibility:visible;mso-wrap-style:square;mso-width-percent:734;mso-height-percent:363;mso-wrap-distance-left:9pt;mso-wrap-distance-top:0;mso-wrap-distance-right:9pt;mso-wrap-distance-bottom:0;mso-position-horizontal:center;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" filled="f" stroked="f" strokeweight=".5pt">
                    <v:textbox style="mso-fit-shape-to-text:t" inset="0,0,0,0">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47B44CB" w14:textId="24471394" w:rsidR="00F73A29" w:rsidRDefault="00F90977">
                              <w:pPr>
                                <w:pStyle w:val="NoSpacing"/>
                                <w:jc w:val="right"/>
                                <w:rPr>
                                  <w:caps/>
                                  <w:color w:val="323E4F" w:themeColor="text2" w:themeShade="BF"/>
                                  <w:sz w:val="40"/>
                                  <w:szCs w:val="40"/>
                                </w:rPr>
                              </w:pPr>
                              <w:r>
                                <w:rPr>
                                  <w:caps/>
                                  <w:color w:val="323E4F" w:themeColor="text2" w:themeShade="BF"/>
                                  <w:sz w:val="40"/>
                                  <w:szCs w:val="40"/>
                                </w:rPr>
                                <w:t>BAOMS bursary 2023</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60288" behindDoc="0" locked="0" layoutInCell="1" allowOverlap="1" wp14:anchorId="4C734B06" wp14:editId="6D04318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925BA" w14:textId="2403E5D2" w:rsidR="00F73A29" w:rsidRDefault="00000000">
                                <w:pPr>
                                  <w:pStyle w:val="NoSpacing"/>
                                  <w:jc w:val="right"/>
                                  <w:rPr>
                                    <w:caps/>
                                    <w:color w:val="323E4F" w:themeColor="text2" w:themeShade="BF"/>
                                    <w:sz w:val="52"/>
                                    <w:szCs w:val="52"/>
                                  </w:rPr>
                                </w:pPr>
                                <w:sdt>
                                  <w:sdtPr>
                                    <w:rPr>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F73A29">
                                      <w:rPr>
                                        <w:caps/>
                                        <w:color w:val="323E4F" w:themeColor="text2" w:themeShade="BF"/>
                                        <w:sz w:val="52"/>
                                        <w:szCs w:val="52"/>
                                      </w:rPr>
                                      <w:t xml:space="preserve">Title:  </w:t>
                                    </w:r>
                                    <w:r w:rsidR="00F73A29">
                                      <w:rPr>
                                        <w:color w:val="323E4F" w:themeColor="text2" w:themeShade="BF"/>
                                        <w:sz w:val="52"/>
                                        <w:szCs w:val="52"/>
                                      </w:rPr>
                                      <w:t>Re-repair of cleft palates</w:t>
                                    </w:r>
                                    <w:r w:rsidR="00F73A29">
                                      <w:rPr>
                                        <w:caps/>
                                        <w:color w:val="323E4F" w:themeColor="text2" w:themeShade="BF"/>
                                        <w:sz w:val="52"/>
                                        <w:szCs w:val="52"/>
                                      </w:rPr>
                                      <w:t xml:space="preserve"> –</w:t>
                                    </w:r>
                                    <w:r w:rsidR="00F73A29">
                                      <w:rPr>
                                        <w:color w:val="323E4F" w:themeColor="text2" w:themeShade="BF"/>
                                        <w:sz w:val="52"/>
                                        <w:szCs w:val="52"/>
                                      </w:rPr>
                                      <w:t xml:space="preserve"> an</w:t>
                                    </w:r>
                                    <w:r w:rsidR="00F73A29">
                                      <w:rPr>
                                        <w:caps/>
                                        <w:color w:val="323E4F" w:themeColor="text2" w:themeShade="BF"/>
                                        <w:sz w:val="52"/>
                                        <w:szCs w:val="52"/>
                                      </w:rPr>
                                      <w:t xml:space="preserve"> </w:t>
                                    </w:r>
                                    <w:r w:rsidR="00F73A29">
                                      <w:rPr>
                                        <w:color w:val="323E4F" w:themeColor="text2" w:themeShade="BF"/>
                                        <w:sz w:val="52"/>
                                        <w:szCs w:val="52"/>
                                      </w:rPr>
                                      <w:t>evaluation of postoperative outcomes.</w:t>
                                    </w:r>
                                    <w:r w:rsidR="00F73A29">
                                      <w:rPr>
                                        <w:caps/>
                                        <w:color w:val="323E4F" w:themeColor="text2" w:themeShade="BF"/>
                                        <w:sz w:val="52"/>
                                        <w:szCs w:val="52"/>
                                      </w:rPr>
                                      <w:br/>
                                    </w:r>
                                    <w:r w:rsidR="00F73A29">
                                      <w:rPr>
                                        <w:caps/>
                                        <w:color w:val="323E4F" w:themeColor="text2" w:themeShade="BF"/>
                                        <w:sz w:val="52"/>
                                        <w:szCs w:val="52"/>
                                      </w:rPr>
                                      <w:br/>
                                    </w:r>
                                    <w:r w:rsidR="00F90977">
                                      <w:rPr>
                                        <w:caps/>
                                        <w:color w:val="323E4F" w:themeColor="text2" w:themeShade="BF"/>
                                        <w:sz w:val="52"/>
                                        <w:szCs w:val="52"/>
                                      </w:rPr>
                                      <w:t>Bursary recipient</w:t>
                                    </w:r>
                                    <w:r w:rsidR="00F73A29">
                                      <w:rPr>
                                        <w:caps/>
                                        <w:color w:val="323E4F" w:themeColor="text2" w:themeShade="BF"/>
                                        <w:sz w:val="52"/>
                                        <w:szCs w:val="52"/>
                                      </w:rPr>
                                      <w:t xml:space="preserve">: </w:t>
                                    </w:r>
                                    <w:r w:rsidR="00F73A29">
                                      <w:rPr>
                                        <w:color w:val="323E4F" w:themeColor="text2" w:themeShade="BF"/>
                                        <w:sz w:val="52"/>
                                        <w:szCs w:val="52"/>
                                      </w:rPr>
                                      <w:t>Mairéad Kelly</w:t>
                                    </w:r>
                                    <w:r w:rsidR="00F73A29">
                                      <w:rPr>
                                        <w:caps/>
                                        <w:color w:val="323E4F" w:themeColor="text2" w:themeShade="BF"/>
                                        <w:sz w:val="52"/>
                                        <w:szCs w:val="52"/>
                                      </w:rPr>
                                      <w:br/>
                                    </w:r>
                                    <w:r w:rsidR="00F73A29">
                                      <w:rPr>
                                        <w:caps/>
                                        <w:color w:val="323E4F" w:themeColor="text2" w:themeShade="BF"/>
                                        <w:sz w:val="52"/>
                                        <w:szCs w:val="52"/>
                                      </w:rPr>
                                      <w:br/>
                                      <w:t xml:space="preserve">Supervisor: </w:t>
                                    </w:r>
                                    <w:r w:rsidR="00F73A29">
                                      <w:rPr>
                                        <w:color w:val="323E4F" w:themeColor="text2" w:themeShade="BF"/>
                                        <w:sz w:val="52"/>
                                        <w:szCs w:val="52"/>
                                      </w:rPr>
                                      <w:t xml:space="preserve">Miss </w:t>
                                    </w:r>
                                    <w:r w:rsidR="00F90977">
                                      <w:rPr>
                                        <w:color w:val="323E4F" w:themeColor="text2" w:themeShade="BF"/>
                                        <w:sz w:val="52"/>
                                        <w:szCs w:val="52"/>
                                      </w:rPr>
                                      <w:t>Marnie Fullarton</w:t>
                                    </w:r>
                                  </w:sdtContent>
                                </w:sdt>
                              </w:p>
                              <w:p w14:paraId="0B392BB0" w14:textId="77777777" w:rsidR="00F73A29" w:rsidRDefault="00F73A29" w:rsidP="00F73A29">
                                <w:pPr>
                                  <w:pStyle w:val="NoSpacing"/>
                                  <w:rPr>
                                    <w:smallCaps/>
                                    <w:color w:val="44546A" w:themeColor="text2"/>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4C734B06" id="Text Box 113" o:spid="_x0000_s1027" type="#_x0000_t202" style="position:absolute;left:0;text-align:left;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" filled="f" stroked="f" strokeweight=".5pt">
                    <v:textbox inset="0,0,0,0">
                      <w:txbxContent>
                        <w:p w14:paraId="424925BA" w14:textId="2403E5D2" w:rsidR="00F73A29" w:rsidRDefault="00000000">
                          <w:pPr>
                            <w:pStyle w:val="NoSpacing"/>
                            <w:jc w:val="right"/>
                            <w:rPr>
                              <w:caps/>
                              <w:color w:val="323E4F" w:themeColor="text2" w:themeShade="BF"/>
                              <w:sz w:val="52"/>
                              <w:szCs w:val="52"/>
                            </w:rPr>
                          </w:pPr>
                          <w:sdt>
                            <w:sdtPr>
                              <w:rPr>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F73A29">
                                <w:rPr>
                                  <w:caps/>
                                  <w:color w:val="323E4F" w:themeColor="text2" w:themeShade="BF"/>
                                  <w:sz w:val="52"/>
                                  <w:szCs w:val="52"/>
                                </w:rPr>
                                <w:t xml:space="preserve">Title:  </w:t>
                              </w:r>
                              <w:r w:rsidR="00F73A29">
                                <w:rPr>
                                  <w:color w:val="323E4F" w:themeColor="text2" w:themeShade="BF"/>
                                  <w:sz w:val="52"/>
                                  <w:szCs w:val="52"/>
                                </w:rPr>
                                <w:t>Re-repair of cleft palates</w:t>
                              </w:r>
                              <w:r w:rsidR="00F73A29">
                                <w:rPr>
                                  <w:caps/>
                                  <w:color w:val="323E4F" w:themeColor="text2" w:themeShade="BF"/>
                                  <w:sz w:val="52"/>
                                  <w:szCs w:val="52"/>
                                </w:rPr>
                                <w:t xml:space="preserve"> –</w:t>
                              </w:r>
                              <w:r w:rsidR="00F73A29">
                                <w:rPr>
                                  <w:color w:val="323E4F" w:themeColor="text2" w:themeShade="BF"/>
                                  <w:sz w:val="52"/>
                                  <w:szCs w:val="52"/>
                                </w:rPr>
                                <w:t xml:space="preserve"> an</w:t>
                              </w:r>
                              <w:r w:rsidR="00F73A29">
                                <w:rPr>
                                  <w:caps/>
                                  <w:color w:val="323E4F" w:themeColor="text2" w:themeShade="BF"/>
                                  <w:sz w:val="52"/>
                                  <w:szCs w:val="52"/>
                                </w:rPr>
                                <w:t xml:space="preserve"> </w:t>
                              </w:r>
                              <w:r w:rsidR="00F73A29">
                                <w:rPr>
                                  <w:color w:val="323E4F" w:themeColor="text2" w:themeShade="BF"/>
                                  <w:sz w:val="52"/>
                                  <w:szCs w:val="52"/>
                                </w:rPr>
                                <w:t>evaluation of postoperative outcomes.</w:t>
                              </w:r>
                              <w:r w:rsidR="00F73A29">
                                <w:rPr>
                                  <w:caps/>
                                  <w:color w:val="323E4F" w:themeColor="text2" w:themeShade="BF"/>
                                  <w:sz w:val="52"/>
                                  <w:szCs w:val="52"/>
                                </w:rPr>
                                <w:br/>
                              </w:r>
                              <w:r w:rsidR="00F73A29">
                                <w:rPr>
                                  <w:caps/>
                                  <w:color w:val="323E4F" w:themeColor="text2" w:themeShade="BF"/>
                                  <w:sz w:val="52"/>
                                  <w:szCs w:val="52"/>
                                </w:rPr>
                                <w:br/>
                              </w:r>
                              <w:r w:rsidR="00F90977">
                                <w:rPr>
                                  <w:caps/>
                                  <w:color w:val="323E4F" w:themeColor="text2" w:themeShade="BF"/>
                                  <w:sz w:val="52"/>
                                  <w:szCs w:val="52"/>
                                </w:rPr>
                                <w:t>Bursary recipient</w:t>
                              </w:r>
                              <w:r w:rsidR="00F73A29">
                                <w:rPr>
                                  <w:caps/>
                                  <w:color w:val="323E4F" w:themeColor="text2" w:themeShade="BF"/>
                                  <w:sz w:val="52"/>
                                  <w:szCs w:val="52"/>
                                </w:rPr>
                                <w:t xml:space="preserve">: </w:t>
                              </w:r>
                              <w:r w:rsidR="00F73A29">
                                <w:rPr>
                                  <w:color w:val="323E4F" w:themeColor="text2" w:themeShade="BF"/>
                                  <w:sz w:val="52"/>
                                  <w:szCs w:val="52"/>
                                </w:rPr>
                                <w:t>Mairéad Kelly</w:t>
                              </w:r>
                              <w:r w:rsidR="00F73A29">
                                <w:rPr>
                                  <w:caps/>
                                  <w:color w:val="323E4F" w:themeColor="text2" w:themeShade="BF"/>
                                  <w:sz w:val="52"/>
                                  <w:szCs w:val="52"/>
                                </w:rPr>
                                <w:br/>
                              </w:r>
                              <w:r w:rsidR="00F73A29">
                                <w:rPr>
                                  <w:caps/>
                                  <w:color w:val="323E4F" w:themeColor="text2" w:themeShade="BF"/>
                                  <w:sz w:val="52"/>
                                  <w:szCs w:val="52"/>
                                </w:rPr>
                                <w:br/>
                                <w:t xml:space="preserve">Supervisor: </w:t>
                              </w:r>
                              <w:r w:rsidR="00F73A29">
                                <w:rPr>
                                  <w:color w:val="323E4F" w:themeColor="text2" w:themeShade="BF"/>
                                  <w:sz w:val="52"/>
                                  <w:szCs w:val="52"/>
                                </w:rPr>
                                <w:t xml:space="preserve">Miss </w:t>
                              </w:r>
                              <w:r w:rsidR="00F90977">
                                <w:rPr>
                                  <w:color w:val="323E4F" w:themeColor="text2" w:themeShade="BF"/>
                                  <w:sz w:val="52"/>
                                  <w:szCs w:val="52"/>
                                </w:rPr>
                                <w:t>Marnie Fullarton</w:t>
                              </w:r>
                            </w:sdtContent>
                          </w:sdt>
                        </w:p>
                        <w:p w14:paraId="0B392BB0" w14:textId="77777777" w:rsidR="00F73A29" w:rsidRDefault="00F73A29" w:rsidP="00F73A29">
                          <w:pPr>
                            <w:pStyle w:val="NoSpacing"/>
                            <w:rPr>
                              <w:smallCaps/>
                              <w:color w:val="44546A" w:themeColor="text2"/>
                              <w:sz w:val="36"/>
                              <w:szCs w:val="36"/>
                            </w:rPr>
                          </w:pPr>
                        </w:p>
                      </w:txbxContent>
                    </v:textbox>
                    <w10:wrap type="square" anchorx="page" anchory="page"/>
                  </v:shape>
                </w:pict>
              </mc:Fallback>
            </mc:AlternateContent>
          </w:r>
          <w:r>
            <w:rPr>
              <w:noProof/>
            </w:rPr>
            <mc:AlternateContent>
              <mc:Choice Requires="wpg">
                <w:drawing>
                  <wp:anchor distT="0" distB="0" distL="114300" distR="114300" simplePos="0" relativeHeight="251659264" behindDoc="0" locked="0" layoutInCell="1" allowOverlap="1" wp14:anchorId="12184403" wp14:editId="47F5D612">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E6DAE47"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p>
        <w:p w14:paraId="6648135B" w14:textId="77777777" w:rsidR="00F90977" w:rsidRDefault="00F90977" w:rsidP="00F90977">
          <w:pPr>
            <w:pStyle w:val="NoSpacing"/>
            <w:jc w:val="right"/>
          </w:pPr>
        </w:p>
        <w:p w14:paraId="176936F9" w14:textId="77777777" w:rsidR="00F90977" w:rsidRDefault="00F90977" w:rsidP="00F90977">
          <w:pPr>
            <w:pStyle w:val="NoSpacing"/>
            <w:jc w:val="right"/>
          </w:pPr>
        </w:p>
        <w:p w14:paraId="456EAFA5" w14:textId="77777777" w:rsidR="00F90977" w:rsidRDefault="00F90977" w:rsidP="00F90977">
          <w:pPr>
            <w:pStyle w:val="NoSpacing"/>
            <w:jc w:val="right"/>
          </w:pPr>
        </w:p>
        <w:p w14:paraId="5922084A" w14:textId="77777777" w:rsidR="00F90977" w:rsidRDefault="00F90977" w:rsidP="00F90977">
          <w:pPr>
            <w:pStyle w:val="NoSpacing"/>
            <w:jc w:val="right"/>
          </w:pPr>
        </w:p>
        <w:p w14:paraId="17F216A7" w14:textId="77777777" w:rsidR="00F90977" w:rsidRDefault="00F90977" w:rsidP="00F90977">
          <w:pPr>
            <w:pStyle w:val="NoSpacing"/>
            <w:jc w:val="right"/>
          </w:pPr>
        </w:p>
        <w:p w14:paraId="04242490" w14:textId="77777777" w:rsidR="00F90977" w:rsidRDefault="00F90977" w:rsidP="00F90977">
          <w:pPr>
            <w:pStyle w:val="NoSpacing"/>
            <w:jc w:val="right"/>
          </w:pPr>
        </w:p>
        <w:p w14:paraId="597BD647" w14:textId="77777777" w:rsidR="00F90977" w:rsidRDefault="00F90977" w:rsidP="00F90977">
          <w:pPr>
            <w:pStyle w:val="NoSpacing"/>
            <w:jc w:val="right"/>
          </w:pPr>
        </w:p>
        <w:p w14:paraId="47C80F48" w14:textId="77777777" w:rsidR="00F90977" w:rsidRDefault="00F90977" w:rsidP="00F90977">
          <w:pPr>
            <w:pStyle w:val="NoSpacing"/>
            <w:jc w:val="right"/>
          </w:pPr>
        </w:p>
        <w:p w14:paraId="37A5E957" w14:textId="77777777" w:rsidR="00F90977" w:rsidRDefault="00F90977" w:rsidP="00F90977">
          <w:pPr>
            <w:pStyle w:val="NoSpacing"/>
            <w:jc w:val="right"/>
          </w:pPr>
        </w:p>
        <w:p w14:paraId="25ECC42D" w14:textId="77777777" w:rsidR="00F90977" w:rsidRDefault="00F90977" w:rsidP="00F90977">
          <w:pPr>
            <w:pStyle w:val="NoSpacing"/>
            <w:jc w:val="right"/>
            <w:rPr>
              <w:smallCaps/>
              <w:color w:val="44546A" w:themeColor="text2"/>
              <w:sz w:val="36"/>
              <w:szCs w:val="36"/>
            </w:rPr>
          </w:pPr>
        </w:p>
        <w:p w14:paraId="26C9DCBA" w14:textId="77777777" w:rsidR="00F90977" w:rsidRDefault="00F90977" w:rsidP="00F90977">
          <w:pPr>
            <w:pStyle w:val="NoSpacing"/>
            <w:jc w:val="right"/>
            <w:rPr>
              <w:smallCaps/>
              <w:color w:val="44546A" w:themeColor="text2"/>
              <w:sz w:val="36"/>
              <w:szCs w:val="36"/>
            </w:rPr>
          </w:pPr>
        </w:p>
        <w:p w14:paraId="21E8FA1B" w14:textId="77777777" w:rsidR="00F90977" w:rsidRDefault="00F90977" w:rsidP="00F90977">
          <w:pPr>
            <w:pStyle w:val="NoSpacing"/>
            <w:jc w:val="right"/>
            <w:rPr>
              <w:smallCaps/>
              <w:color w:val="44546A" w:themeColor="text2"/>
              <w:sz w:val="36"/>
              <w:szCs w:val="36"/>
            </w:rPr>
          </w:pPr>
        </w:p>
        <w:p w14:paraId="7339D9F8" w14:textId="2925959A" w:rsidR="00F56594" w:rsidRPr="00F90977" w:rsidRDefault="00F90977" w:rsidP="00F90977">
          <w:pPr>
            <w:pStyle w:val="NoSpacing"/>
            <w:jc w:val="right"/>
            <w:rPr>
              <w:smallCaps/>
              <w:color w:val="44546A" w:themeColor="text2"/>
              <w:sz w:val="36"/>
              <w:szCs w:val="36"/>
            </w:rPr>
          </w:pPr>
        </w:p>
      </w:sdtContent>
    </w:sdt>
    <w:p w14:paraId="03B21269" w14:textId="37F75BA1" w:rsidR="00F56594" w:rsidRDefault="00F56594"/>
    <w:p w14:paraId="503F142E" w14:textId="77777777" w:rsidR="00F90977" w:rsidRDefault="00F90977"/>
    <w:p w14:paraId="050ED321" w14:textId="3B59093B" w:rsidR="00F56594" w:rsidRDefault="00060656" w:rsidP="00060656">
      <w:pPr>
        <w:pStyle w:val="Heading1"/>
      </w:pPr>
      <w:bookmarkStart w:id="0" w:name="_Toc129708544"/>
      <w:r>
        <w:lastRenderedPageBreak/>
        <w:t>Abstract</w:t>
      </w:r>
      <w:bookmarkEnd w:id="0"/>
    </w:p>
    <w:p w14:paraId="61C3EB2E" w14:textId="0DBEF34E" w:rsidR="00060656" w:rsidRDefault="00060656" w:rsidP="00060656">
      <w:pPr>
        <w:pStyle w:val="Heading2"/>
      </w:pPr>
      <w:bookmarkStart w:id="1" w:name="_Toc129708545"/>
      <w:r>
        <w:t>Objectives</w:t>
      </w:r>
      <w:bookmarkEnd w:id="1"/>
    </w:p>
    <w:p w14:paraId="5E3FD38B" w14:textId="77777777" w:rsidR="00060656" w:rsidRDefault="00060656" w:rsidP="00E72D47">
      <w:pPr>
        <w:jc w:val="both"/>
        <w:rPr>
          <w:lang w:val="en-GB"/>
        </w:rPr>
      </w:pPr>
      <w:r>
        <w:rPr>
          <w:lang w:val="en-GB"/>
        </w:rPr>
        <w:t xml:space="preserve">Cleft palate re-repair is an effective treatment for velopharygneal insufficiency (VPI) in patients who have previously undergone a cleft palate repair. In such cases, the purpose of the palate re-repair is to improve velar </w:t>
      </w:r>
      <w:proofErr w:type="gramStart"/>
      <w:r>
        <w:rPr>
          <w:lang w:val="en-GB"/>
        </w:rPr>
        <w:t>function;</w:t>
      </w:r>
      <w:proofErr w:type="gramEnd"/>
      <w:r>
        <w:rPr>
          <w:lang w:val="en-GB"/>
        </w:rPr>
        <w:t xml:space="preserve"> which in turn improves speech outcomes including hypernasality, audible nasal emission, nasal turbulence and intelligibility. The objective of this study was to evaluate the clinical speech outcomes of cleft palate re-repair (CPR-R) performed at a UK cleft centre.</w:t>
      </w:r>
    </w:p>
    <w:p w14:paraId="7188A065" w14:textId="525D2451" w:rsidR="00060656" w:rsidRDefault="00E72D47" w:rsidP="00E72D47">
      <w:pPr>
        <w:pStyle w:val="Heading2"/>
      </w:pPr>
      <w:bookmarkStart w:id="2" w:name="_Toc129708546"/>
      <w:r>
        <w:t>Materials and Methods</w:t>
      </w:r>
      <w:bookmarkEnd w:id="2"/>
    </w:p>
    <w:p w14:paraId="6618BC0A" w14:textId="414962A0" w:rsidR="00E72D47" w:rsidRDefault="00E72D47" w:rsidP="00E72D47">
      <w:pPr>
        <w:jc w:val="both"/>
        <w:rPr>
          <w:lang w:val="en-GB"/>
        </w:rPr>
      </w:pPr>
      <w:r>
        <w:rPr>
          <w:lang w:val="en-GB"/>
        </w:rPr>
        <w:t xml:space="preserve">102 patients who underwent a CPR-R by a single surgeon over the </w:t>
      </w:r>
      <w:proofErr w:type="gramStart"/>
      <w:r>
        <w:rPr>
          <w:lang w:val="en-GB"/>
        </w:rPr>
        <w:t>10 year</w:t>
      </w:r>
      <w:proofErr w:type="gramEnd"/>
      <w:r>
        <w:rPr>
          <w:lang w:val="en-GB"/>
        </w:rPr>
        <w:t xml:space="preserve"> period from 1</w:t>
      </w:r>
      <w:r>
        <w:rPr>
          <w:vertAlign w:val="superscript"/>
          <w:lang w:val="en-GB"/>
        </w:rPr>
        <w:t>st</w:t>
      </w:r>
      <w:r>
        <w:rPr>
          <w:lang w:val="en-GB"/>
        </w:rPr>
        <w:t xml:space="preserve"> January 2011 – 31</w:t>
      </w:r>
      <w:r>
        <w:rPr>
          <w:vertAlign w:val="superscript"/>
          <w:lang w:val="en-GB"/>
        </w:rPr>
        <w:t>st</w:t>
      </w:r>
      <w:r>
        <w:rPr>
          <w:lang w:val="en-GB"/>
        </w:rPr>
        <w:t xml:space="preserve"> December 2021 were identified. Retrospectively, clinical data including preoperative and postoperative speech assessment using the Great Ormond Street Speech Assessment was collected and analysed to determine comparative improvement. Cases that required further re-operation for ongoing VPI were examined in further detail, including the nature of any additional velopharyngeal surgery and subsequent speech outcome.</w:t>
      </w:r>
    </w:p>
    <w:p w14:paraId="5A470B6B" w14:textId="5A1A3CC5" w:rsidR="00E72D47" w:rsidRDefault="00E72D47" w:rsidP="00E72D47">
      <w:pPr>
        <w:pStyle w:val="Heading2"/>
      </w:pPr>
      <w:bookmarkStart w:id="3" w:name="_Toc129708547"/>
      <w:r>
        <w:t>Results</w:t>
      </w:r>
      <w:bookmarkEnd w:id="3"/>
    </w:p>
    <w:p w14:paraId="3B9A440F" w14:textId="5F1F003F" w:rsidR="00E72D47" w:rsidRDefault="00E72D47" w:rsidP="00E72D47">
      <w:pPr>
        <w:jc w:val="both"/>
        <w:rPr>
          <w:lang w:eastAsia="en-IE"/>
        </w:rPr>
      </w:pPr>
      <w:r>
        <w:t xml:space="preserve">Of 102 patients who underwent CPR-R in the 10-year period reviewed, 84.4% of patients did not require further speech surgery. The mean age of patients undergoing CPR-R was 6.5 years. Postoperatively, </w:t>
      </w:r>
      <w:r>
        <w:rPr>
          <w:lang w:eastAsia="en-IE"/>
        </w:rPr>
        <w:t>60% patients achieved no hypernasality whatsoever and over 83% of our patients were found to have no hypernasality, inconsistent mild hypernasality or consistent mild hypernasality following CPR-R surgery.</w:t>
      </w:r>
    </w:p>
    <w:p w14:paraId="43596540" w14:textId="07CF55AF" w:rsidR="00E72D47" w:rsidRDefault="00E72D47" w:rsidP="00E72D47">
      <w:pPr>
        <w:pStyle w:val="Heading2"/>
      </w:pPr>
      <w:bookmarkStart w:id="4" w:name="_Toc129708548"/>
      <w:r>
        <w:t>Conclusion</w:t>
      </w:r>
      <w:bookmarkEnd w:id="4"/>
    </w:p>
    <w:p w14:paraId="2A8ACEFF" w14:textId="0C7CD89C" w:rsidR="00E72D47" w:rsidRDefault="00E72D47" w:rsidP="00E72D47">
      <w:pPr>
        <w:jc w:val="both"/>
        <w:rPr>
          <w:lang w:val="en-GB"/>
        </w:rPr>
      </w:pPr>
      <w:r>
        <w:rPr>
          <w:lang w:val="en-GB"/>
        </w:rPr>
        <w:t xml:space="preserve">Secondary repair of cleft palate can significantly improve velar function, resulting in velopharyngeal sufficiency and associated improvements in speech. This service evaluation presents the outcomes for patients who underwent CPR-R at a specialist cleft lip and palate unit. </w:t>
      </w:r>
    </w:p>
    <w:p w14:paraId="12A0D66C" w14:textId="7D815B7D" w:rsidR="00AA4B5F" w:rsidRDefault="00AA4B5F"/>
    <w:p w14:paraId="669FBF99" w14:textId="19862DB8" w:rsidR="00512D07" w:rsidRDefault="00512D07"/>
    <w:p w14:paraId="4B94BD37" w14:textId="242BCADD" w:rsidR="00512D07" w:rsidRDefault="00512D07"/>
    <w:p w14:paraId="3F1238A2" w14:textId="3913691B" w:rsidR="00512D07" w:rsidRDefault="00512D07"/>
    <w:p w14:paraId="38B40AE0" w14:textId="6E11F396" w:rsidR="00512D07" w:rsidRDefault="00512D07"/>
    <w:p w14:paraId="41BAB4E2" w14:textId="32BA1174" w:rsidR="00512D07" w:rsidRDefault="00512D07"/>
    <w:p w14:paraId="273C5055" w14:textId="4FE28167" w:rsidR="00512D07" w:rsidRDefault="00512D07"/>
    <w:p w14:paraId="3F8B32EC" w14:textId="5A2D4DCB" w:rsidR="00512D07" w:rsidRDefault="00512D07"/>
    <w:p w14:paraId="170E3838" w14:textId="178F7D29" w:rsidR="00512D07" w:rsidRDefault="00512D07"/>
    <w:p w14:paraId="76C145F0" w14:textId="6FA5034B" w:rsidR="00512D07" w:rsidRDefault="00512D07"/>
    <w:p w14:paraId="287C3EDF" w14:textId="4184B6C5" w:rsidR="00512D07" w:rsidRDefault="00512D07"/>
    <w:p w14:paraId="1B648187" w14:textId="79C9E956" w:rsidR="00512D07" w:rsidRDefault="00512D07"/>
    <w:p w14:paraId="77050FF8" w14:textId="18429595" w:rsidR="00512D07" w:rsidRDefault="00512D07"/>
    <w:sdt>
      <w:sdtPr>
        <w:rPr>
          <w:rFonts w:asciiTheme="minorHAnsi" w:eastAsiaTheme="minorHAnsi" w:hAnsiTheme="minorHAnsi" w:cstheme="minorBidi"/>
          <w:color w:val="auto"/>
          <w:sz w:val="22"/>
          <w:szCs w:val="22"/>
          <w:lang w:val="en-IE"/>
        </w:rPr>
        <w:id w:val="-557162894"/>
        <w:docPartObj>
          <w:docPartGallery w:val="Table of Contents"/>
          <w:docPartUnique/>
        </w:docPartObj>
      </w:sdtPr>
      <w:sdtEndPr>
        <w:rPr>
          <w:b/>
          <w:bCs/>
          <w:noProof/>
        </w:rPr>
      </w:sdtEndPr>
      <w:sdtContent>
        <w:p w14:paraId="076FFC95" w14:textId="69C96CF4" w:rsidR="00512D07" w:rsidRDefault="00512D07">
          <w:pPr>
            <w:pStyle w:val="TOCHeading"/>
          </w:pPr>
          <w:r>
            <w:t>Table of Contents</w:t>
          </w:r>
        </w:p>
        <w:p w14:paraId="30B06179" w14:textId="68BE3FC3" w:rsidR="00F90977" w:rsidRDefault="00512D07">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129708544" w:history="1">
            <w:r w:rsidR="00F90977" w:rsidRPr="00F33833">
              <w:rPr>
                <w:rStyle w:val="Hyperlink"/>
                <w:noProof/>
              </w:rPr>
              <w:t>Abstract</w:t>
            </w:r>
            <w:r w:rsidR="00F90977">
              <w:rPr>
                <w:noProof/>
                <w:webHidden/>
              </w:rPr>
              <w:tab/>
            </w:r>
            <w:r w:rsidR="00F90977">
              <w:rPr>
                <w:noProof/>
                <w:webHidden/>
              </w:rPr>
              <w:fldChar w:fldCharType="begin"/>
            </w:r>
            <w:r w:rsidR="00F90977">
              <w:rPr>
                <w:noProof/>
                <w:webHidden/>
              </w:rPr>
              <w:instrText xml:space="preserve"> PAGEREF _Toc129708544 \h </w:instrText>
            </w:r>
            <w:r w:rsidR="00F90977">
              <w:rPr>
                <w:noProof/>
                <w:webHidden/>
              </w:rPr>
            </w:r>
            <w:r w:rsidR="00F90977">
              <w:rPr>
                <w:noProof/>
                <w:webHidden/>
              </w:rPr>
              <w:fldChar w:fldCharType="separate"/>
            </w:r>
            <w:r w:rsidR="00F90977">
              <w:rPr>
                <w:noProof/>
                <w:webHidden/>
              </w:rPr>
              <w:t>1</w:t>
            </w:r>
            <w:r w:rsidR="00F90977">
              <w:rPr>
                <w:noProof/>
                <w:webHidden/>
              </w:rPr>
              <w:fldChar w:fldCharType="end"/>
            </w:r>
          </w:hyperlink>
        </w:p>
        <w:p w14:paraId="79982EE7" w14:textId="7B82C430" w:rsidR="00F90977" w:rsidRDefault="00F90977">
          <w:pPr>
            <w:pStyle w:val="TOC2"/>
            <w:tabs>
              <w:tab w:val="right" w:leader="dot" w:pos="9016"/>
            </w:tabs>
            <w:rPr>
              <w:rFonts w:eastAsiaTheme="minorEastAsia"/>
              <w:noProof/>
              <w:lang w:eastAsia="en-IE"/>
            </w:rPr>
          </w:pPr>
          <w:hyperlink w:anchor="_Toc129708545" w:history="1">
            <w:r w:rsidRPr="00F33833">
              <w:rPr>
                <w:rStyle w:val="Hyperlink"/>
                <w:noProof/>
              </w:rPr>
              <w:t>Objectives</w:t>
            </w:r>
            <w:r>
              <w:rPr>
                <w:noProof/>
                <w:webHidden/>
              </w:rPr>
              <w:tab/>
            </w:r>
            <w:r>
              <w:rPr>
                <w:noProof/>
                <w:webHidden/>
              </w:rPr>
              <w:fldChar w:fldCharType="begin"/>
            </w:r>
            <w:r>
              <w:rPr>
                <w:noProof/>
                <w:webHidden/>
              </w:rPr>
              <w:instrText xml:space="preserve"> PAGEREF _Toc129708545 \h </w:instrText>
            </w:r>
            <w:r>
              <w:rPr>
                <w:noProof/>
                <w:webHidden/>
              </w:rPr>
            </w:r>
            <w:r>
              <w:rPr>
                <w:noProof/>
                <w:webHidden/>
              </w:rPr>
              <w:fldChar w:fldCharType="separate"/>
            </w:r>
            <w:r>
              <w:rPr>
                <w:noProof/>
                <w:webHidden/>
              </w:rPr>
              <w:t>1</w:t>
            </w:r>
            <w:r>
              <w:rPr>
                <w:noProof/>
                <w:webHidden/>
              </w:rPr>
              <w:fldChar w:fldCharType="end"/>
            </w:r>
          </w:hyperlink>
        </w:p>
        <w:p w14:paraId="5E4C4CDA" w14:textId="5ED1E201" w:rsidR="00F90977" w:rsidRDefault="00F90977">
          <w:pPr>
            <w:pStyle w:val="TOC2"/>
            <w:tabs>
              <w:tab w:val="right" w:leader="dot" w:pos="9016"/>
            </w:tabs>
            <w:rPr>
              <w:rFonts w:eastAsiaTheme="minorEastAsia"/>
              <w:noProof/>
              <w:lang w:eastAsia="en-IE"/>
            </w:rPr>
          </w:pPr>
          <w:hyperlink w:anchor="_Toc129708546" w:history="1">
            <w:r w:rsidRPr="00F33833">
              <w:rPr>
                <w:rStyle w:val="Hyperlink"/>
                <w:noProof/>
              </w:rPr>
              <w:t>Materials and Methods</w:t>
            </w:r>
            <w:r>
              <w:rPr>
                <w:noProof/>
                <w:webHidden/>
              </w:rPr>
              <w:tab/>
            </w:r>
            <w:r>
              <w:rPr>
                <w:noProof/>
                <w:webHidden/>
              </w:rPr>
              <w:fldChar w:fldCharType="begin"/>
            </w:r>
            <w:r>
              <w:rPr>
                <w:noProof/>
                <w:webHidden/>
              </w:rPr>
              <w:instrText xml:space="preserve"> PAGEREF _Toc129708546 \h </w:instrText>
            </w:r>
            <w:r>
              <w:rPr>
                <w:noProof/>
                <w:webHidden/>
              </w:rPr>
            </w:r>
            <w:r>
              <w:rPr>
                <w:noProof/>
                <w:webHidden/>
              </w:rPr>
              <w:fldChar w:fldCharType="separate"/>
            </w:r>
            <w:r>
              <w:rPr>
                <w:noProof/>
                <w:webHidden/>
              </w:rPr>
              <w:t>1</w:t>
            </w:r>
            <w:r>
              <w:rPr>
                <w:noProof/>
                <w:webHidden/>
              </w:rPr>
              <w:fldChar w:fldCharType="end"/>
            </w:r>
          </w:hyperlink>
        </w:p>
        <w:p w14:paraId="302D27A1" w14:textId="48384E62" w:rsidR="00F90977" w:rsidRDefault="00F90977">
          <w:pPr>
            <w:pStyle w:val="TOC2"/>
            <w:tabs>
              <w:tab w:val="right" w:leader="dot" w:pos="9016"/>
            </w:tabs>
            <w:rPr>
              <w:rFonts w:eastAsiaTheme="minorEastAsia"/>
              <w:noProof/>
              <w:lang w:eastAsia="en-IE"/>
            </w:rPr>
          </w:pPr>
          <w:hyperlink w:anchor="_Toc129708547" w:history="1">
            <w:r w:rsidRPr="00F33833">
              <w:rPr>
                <w:rStyle w:val="Hyperlink"/>
                <w:noProof/>
              </w:rPr>
              <w:t>Results</w:t>
            </w:r>
            <w:r>
              <w:rPr>
                <w:noProof/>
                <w:webHidden/>
              </w:rPr>
              <w:tab/>
            </w:r>
            <w:r>
              <w:rPr>
                <w:noProof/>
                <w:webHidden/>
              </w:rPr>
              <w:fldChar w:fldCharType="begin"/>
            </w:r>
            <w:r>
              <w:rPr>
                <w:noProof/>
                <w:webHidden/>
              </w:rPr>
              <w:instrText xml:space="preserve"> PAGEREF _Toc129708547 \h </w:instrText>
            </w:r>
            <w:r>
              <w:rPr>
                <w:noProof/>
                <w:webHidden/>
              </w:rPr>
            </w:r>
            <w:r>
              <w:rPr>
                <w:noProof/>
                <w:webHidden/>
              </w:rPr>
              <w:fldChar w:fldCharType="separate"/>
            </w:r>
            <w:r>
              <w:rPr>
                <w:noProof/>
                <w:webHidden/>
              </w:rPr>
              <w:t>1</w:t>
            </w:r>
            <w:r>
              <w:rPr>
                <w:noProof/>
                <w:webHidden/>
              </w:rPr>
              <w:fldChar w:fldCharType="end"/>
            </w:r>
          </w:hyperlink>
        </w:p>
        <w:p w14:paraId="4F561C8F" w14:textId="14544863" w:rsidR="00F90977" w:rsidRDefault="00F90977">
          <w:pPr>
            <w:pStyle w:val="TOC2"/>
            <w:tabs>
              <w:tab w:val="right" w:leader="dot" w:pos="9016"/>
            </w:tabs>
            <w:rPr>
              <w:rFonts w:eastAsiaTheme="minorEastAsia"/>
              <w:noProof/>
              <w:lang w:eastAsia="en-IE"/>
            </w:rPr>
          </w:pPr>
          <w:hyperlink w:anchor="_Toc129708548" w:history="1">
            <w:r w:rsidRPr="00F33833">
              <w:rPr>
                <w:rStyle w:val="Hyperlink"/>
                <w:noProof/>
              </w:rPr>
              <w:t>Conclusion</w:t>
            </w:r>
            <w:r>
              <w:rPr>
                <w:noProof/>
                <w:webHidden/>
              </w:rPr>
              <w:tab/>
            </w:r>
            <w:r>
              <w:rPr>
                <w:noProof/>
                <w:webHidden/>
              </w:rPr>
              <w:fldChar w:fldCharType="begin"/>
            </w:r>
            <w:r>
              <w:rPr>
                <w:noProof/>
                <w:webHidden/>
              </w:rPr>
              <w:instrText xml:space="preserve"> PAGEREF _Toc129708548 \h </w:instrText>
            </w:r>
            <w:r>
              <w:rPr>
                <w:noProof/>
                <w:webHidden/>
              </w:rPr>
            </w:r>
            <w:r>
              <w:rPr>
                <w:noProof/>
                <w:webHidden/>
              </w:rPr>
              <w:fldChar w:fldCharType="separate"/>
            </w:r>
            <w:r>
              <w:rPr>
                <w:noProof/>
                <w:webHidden/>
              </w:rPr>
              <w:t>1</w:t>
            </w:r>
            <w:r>
              <w:rPr>
                <w:noProof/>
                <w:webHidden/>
              </w:rPr>
              <w:fldChar w:fldCharType="end"/>
            </w:r>
          </w:hyperlink>
        </w:p>
        <w:p w14:paraId="35928852" w14:textId="163DE39C" w:rsidR="00F90977" w:rsidRDefault="00F90977">
          <w:pPr>
            <w:pStyle w:val="TOC1"/>
            <w:tabs>
              <w:tab w:val="right" w:leader="dot" w:pos="9016"/>
            </w:tabs>
            <w:rPr>
              <w:rFonts w:eastAsiaTheme="minorEastAsia"/>
              <w:noProof/>
              <w:lang w:eastAsia="en-IE"/>
            </w:rPr>
          </w:pPr>
          <w:hyperlink w:anchor="_Toc129708549" w:history="1">
            <w:r w:rsidRPr="00F33833">
              <w:rPr>
                <w:rStyle w:val="Hyperlink"/>
                <w:noProof/>
              </w:rPr>
              <w:t>Introduction</w:t>
            </w:r>
            <w:r>
              <w:rPr>
                <w:noProof/>
                <w:webHidden/>
              </w:rPr>
              <w:tab/>
            </w:r>
            <w:r>
              <w:rPr>
                <w:noProof/>
                <w:webHidden/>
              </w:rPr>
              <w:fldChar w:fldCharType="begin"/>
            </w:r>
            <w:r>
              <w:rPr>
                <w:noProof/>
                <w:webHidden/>
              </w:rPr>
              <w:instrText xml:space="preserve"> PAGEREF _Toc129708549 \h </w:instrText>
            </w:r>
            <w:r>
              <w:rPr>
                <w:noProof/>
                <w:webHidden/>
              </w:rPr>
            </w:r>
            <w:r>
              <w:rPr>
                <w:noProof/>
                <w:webHidden/>
              </w:rPr>
              <w:fldChar w:fldCharType="separate"/>
            </w:r>
            <w:r>
              <w:rPr>
                <w:noProof/>
                <w:webHidden/>
              </w:rPr>
              <w:t>3</w:t>
            </w:r>
            <w:r>
              <w:rPr>
                <w:noProof/>
                <w:webHidden/>
              </w:rPr>
              <w:fldChar w:fldCharType="end"/>
            </w:r>
          </w:hyperlink>
        </w:p>
        <w:p w14:paraId="51847A9E" w14:textId="08FF8D72" w:rsidR="00F90977" w:rsidRDefault="00F90977">
          <w:pPr>
            <w:pStyle w:val="TOC1"/>
            <w:tabs>
              <w:tab w:val="right" w:leader="dot" w:pos="9016"/>
            </w:tabs>
            <w:rPr>
              <w:rFonts w:eastAsiaTheme="minorEastAsia"/>
              <w:noProof/>
              <w:lang w:eastAsia="en-IE"/>
            </w:rPr>
          </w:pPr>
          <w:hyperlink w:anchor="_Toc129708550" w:history="1">
            <w:r w:rsidRPr="00F33833">
              <w:rPr>
                <w:rStyle w:val="Hyperlink"/>
                <w:noProof/>
                <w:lang w:val="en-GB"/>
              </w:rPr>
              <w:t>Method</w:t>
            </w:r>
            <w:r>
              <w:rPr>
                <w:noProof/>
                <w:webHidden/>
              </w:rPr>
              <w:tab/>
            </w:r>
            <w:r>
              <w:rPr>
                <w:noProof/>
                <w:webHidden/>
              </w:rPr>
              <w:fldChar w:fldCharType="begin"/>
            </w:r>
            <w:r>
              <w:rPr>
                <w:noProof/>
                <w:webHidden/>
              </w:rPr>
              <w:instrText xml:space="preserve"> PAGEREF _Toc129708550 \h </w:instrText>
            </w:r>
            <w:r>
              <w:rPr>
                <w:noProof/>
                <w:webHidden/>
              </w:rPr>
            </w:r>
            <w:r>
              <w:rPr>
                <w:noProof/>
                <w:webHidden/>
              </w:rPr>
              <w:fldChar w:fldCharType="separate"/>
            </w:r>
            <w:r>
              <w:rPr>
                <w:noProof/>
                <w:webHidden/>
              </w:rPr>
              <w:t>3</w:t>
            </w:r>
            <w:r>
              <w:rPr>
                <w:noProof/>
                <w:webHidden/>
              </w:rPr>
              <w:fldChar w:fldCharType="end"/>
            </w:r>
          </w:hyperlink>
        </w:p>
        <w:p w14:paraId="6260EE84" w14:textId="48E3CEEB" w:rsidR="00F90977" w:rsidRDefault="00F90977">
          <w:pPr>
            <w:pStyle w:val="TOC1"/>
            <w:tabs>
              <w:tab w:val="right" w:leader="dot" w:pos="9016"/>
            </w:tabs>
            <w:rPr>
              <w:rFonts w:eastAsiaTheme="minorEastAsia"/>
              <w:noProof/>
              <w:lang w:eastAsia="en-IE"/>
            </w:rPr>
          </w:pPr>
          <w:hyperlink w:anchor="_Toc129708551" w:history="1">
            <w:r w:rsidRPr="00F33833">
              <w:rPr>
                <w:rStyle w:val="Hyperlink"/>
                <w:noProof/>
                <w:lang w:eastAsia="en-IE"/>
              </w:rPr>
              <w:t>Results</w:t>
            </w:r>
            <w:r>
              <w:rPr>
                <w:noProof/>
                <w:webHidden/>
              </w:rPr>
              <w:tab/>
            </w:r>
            <w:r>
              <w:rPr>
                <w:noProof/>
                <w:webHidden/>
              </w:rPr>
              <w:fldChar w:fldCharType="begin"/>
            </w:r>
            <w:r>
              <w:rPr>
                <w:noProof/>
                <w:webHidden/>
              </w:rPr>
              <w:instrText xml:space="preserve"> PAGEREF _Toc129708551 \h </w:instrText>
            </w:r>
            <w:r>
              <w:rPr>
                <w:noProof/>
                <w:webHidden/>
              </w:rPr>
            </w:r>
            <w:r>
              <w:rPr>
                <w:noProof/>
                <w:webHidden/>
              </w:rPr>
              <w:fldChar w:fldCharType="separate"/>
            </w:r>
            <w:r>
              <w:rPr>
                <w:noProof/>
                <w:webHidden/>
              </w:rPr>
              <w:t>4</w:t>
            </w:r>
            <w:r>
              <w:rPr>
                <w:noProof/>
                <w:webHidden/>
              </w:rPr>
              <w:fldChar w:fldCharType="end"/>
            </w:r>
          </w:hyperlink>
        </w:p>
        <w:p w14:paraId="3BAB261B" w14:textId="0476C44E" w:rsidR="00F90977" w:rsidRDefault="00F90977">
          <w:pPr>
            <w:pStyle w:val="TOC2"/>
            <w:tabs>
              <w:tab w:val="right" w:leader="dot" w:pos="9016"/>
            </w:tabs>
            <w:rPr>
              <w:rFonts w:eastAsiaTheme="minorEastAsia"/>
              <w:noProof/>
              <w:lang w:eastAsia="en-IE"/>
            </w:rPr>
          </w:pPr>
          <w:hyperlink w:anchor="_Toc129708552" w:history="1">
            <w:r w:rsidRPr="00F33833">
              <w:rPr>
                <w:rStyle w:val="Hyperlink"/>
                <w:noProof/>
                <w:lang w:eastAsia="en-IE"/>
              </w:rPr>
              <w:t>Demographics</w:t>
            </w:r>
            <w:r>
              <w:rPr>
                <w:noProof/>
                <w:webHidden/>
              </w:rPr>
              <w:tab/>
            </w:r>
            <w:r>
              <w:rPr>
                <w:noProof/>
                <w:webHidden/>
              </w:rPr>
              <w:fldChar w:fldCharType="begin"/>
            </w:r>
            <w:r>
              <w:rPr>
                <w:noProof/>
                <w:webHidden/>
              </w:rPr>
              <w:instrText xml:space="preserve"> PAGEREF _Toc129708552 \h </w:instrText>
            </w:r>
            <w:r>
              <w:rPr>
                <w:noProof/>
                <w:webHidden/>
              </w:rPr>
            </w:r>
            <w:r>
              <w:rPr>
                <w:noProof/>
                <w:webHidden/>
              </w:rPr>
              <w:fldChar w:fldCharType="separate"/>
            </w:r>
            <w:r>
              <w:rPr>
                <w:noProof/>
                <w:webHidden/>
              </w:rPr>
              <w:t>4</w:t>
            </w:r>
            <w:r>
              <w:rPr>
                <w:noProof/>
                <w:webHidden/>
              </w:rPr>
              <w:fldChar w:fldCharType="end"/>
            </w:r>
          </w:hyperlink>
        </w:p>
        <w:p w14:paraId="2FE19FB8" w14:textId="15694817" w:rsidR="00F90977" w:rsidRDefault="00F90977">
          <w:pPr>
            <w:pStyle w:val="TOC2"/>
            <w:tabs>
              <w:tab w:val="right" w:leader="dot" w:pos="9016"/>
            </w:tabs>
            <w:rPr>
              <w:rFonts w:eastAsiaTheme="minorEastAsia"/>
              <w:noProof/>
              <w:lang w:eastAsia="en-IE"/>
            </w:rPr>
          </w:pPr>
          <w:hyperlink w:anchor="_Toc129708553" w:history="1">
            <w:r w:rsidRPr="00F33833">
              <w:rPr>
                <w:rStyle w:val="Hyperlink"/>
                <w:noProof/>
                <w:lang w:eastAsia="en-IE"/>
              </w:rPr>
              <w:t>Need for further surgery</w:t>
            </w:r>
            <w:r>
              <w:rPr>
                <w:noProof/>
                <w:webHidden/>
              </w:rPr>
              <w:tab/>
            </w:r>
            <w:r>
              <w:rPr>
                <w:noProof/>
                <w:webHidden/>
              </w:rPr>
              <w:fldChar w:fldCharType="begin"/>
            </w:r>
            <w:r>
              <w:rPr>
                <w:noProof/>
                <w:webHidden/>
              </w:rPr>
              <w:instrText xml:space="preserve"> PAGEREF _Toc129708553 \h </w:instrText>
            </w:r>
            <w:r>
              <w:rPr>
                <w:noProof/>
                <w:webHidden/>
              </w:rPr>
            </w:r>
            <w:r>
              <w:rPr>
                <w:noProof/>
                <w:webHidden/>
              </w:rPr>
              <w:fldChar w:fldCharType="separate"/>
            </w:r>
            <w:r>
              <w:rPr>
                <w:noProof/>
                <w:webHidden/>
              </w:rPr>
              <w:t>4</w:t>
            </w:r>
            <w:r>
              <w:rPr>
                <w:noProof/>
                <w:webHidden/>
              </w:rPr>
              <w:fldChar w:fldCharType="end"/>
            </w:r>
          </w:hyperlink>
        </w:p>
        <w:p w14:paraId="7DB91B60" w14:textId="0337C794" w:rsidR="00F90977" w:rsidRDefault="00F90977">
          <w:pPr>
            <w:pStyle w:val="TOC2"/>
            <w:tabs>
              <w:tab w:val="right" w:leader="dot" w:pos="9016"/>
            </w:tabs>
            <w:rPr>
              <w:rFonts w:eastAsiaTheme="minorEastAsia"/>
              <w:noProof/>
              <w:lang w:eastAsia="en-IE"/>
            </w:rPr>
          </w:pPr>
          <w:hyperlink w:anchor="_Toc129708554" w:history="1">
            <w:r w:rsidRPr="00F33833">
              <w:rPr>
                <w:rStyle w:val="Hyperlink"/>
                <w:noProof/>
                <w:lang w:eastAsia="en-IE"/>
              </w:rPr>
              <w:t>Cleft Type</w:t>
            </w:r>
            <w:r>
              <w:rPr>
                <w:noProof/>
                <w:webHidden/>
              </w:rPr>
              <w:tab/>
            </w:r>
            <w:r>
              <w:rPr>
                <w:noProof/>
                <w:webHidden/>
              </w:rPr>
              <w:fldChar w:fldCharType="begin"/>
            </w:r>
            <w:r>
              <w:rPr>
                <w:noProof/>
                <w:webHidden/>
              </w:rPr>
              <w:instrText xml:space="preserve"> PAGEREF _Toc129708554 \h </w:instrText>
            </w:r>
            <w:r>
              <w:rPr>
                <w:noProof/>
                <w:webHidden/>
              </w:rPr>
            </w:r>
            <w:r>
              <w:rPr>
                <w:noProof/>
                <w:webHidden/>
              </w:rPr>
              <w:fldChar w:fldCharType="separate"/>
            </w:r>
            <w:r>
              <w:rPr>
                <w:noProof/>
                <w:webHidden/>
              </w:rPr>
              <w:t>4</w:t>
            </w:r>
            <w:r>
              <w:rPr>
                <w:noProof/>
                <w:webHidden/>
              </w:rPr>
              <w:fldChar w:fldCharType="end"/>
            </w:r>
          </w:hyperlink>
        </w:p>
        <w:p w14:paraId="415C214B" w14:textId="315EF152" w:rsidR="00F90977" w:rsidRDefault="00F90977">
          <w:pPr>
            <w:pStyle w:val="TOC2"/>
            <w:tabs>
              <w:tab w:val="right" w:leader="dot" w:pos="9016"/>
            </w:tabs>
            <w:rPr>
              <w:rFonts w:eastAsiaTheme="minorEastAsia"/>
              <w:noProof/>
              <w:lang w:eastAsia="en-IE"/>
            </w:rPr>
          </w:pPr>
          <w:hyperlink w:anchor="_Toc129708555" w:history="1">
            <w:r w:rsidRPr="00F33833">
              <w:rPr>
                <w:rStyle w:val="Hyperlink"/>
                <w:noProof/>
              </w:rPr>
              <w:t>Speech outcomes, as recorded by serial GOS.SP.ASS scores</w:t>
            </w:r>
            <w:r>
              <w:rPr>
                <w:noProof/>
                <w:webHidden/>
              </w:rPr>
              <w:tab/>
            </w:r>
            <w:r>
              <w:rPr>
                <w:noProof/>
                <w:webHidden/>
              </w:rPr>
              <w:fldChar w:fldCharType="begin"/>
            </w:r>
            <w:r>
              <w:rPr>
                <w:noProof/>
                <w:webHidden/>
              </w:rPr>
              <w:instrText xml:space="preserve"> PAGEREF _Toc129708555 \h </w:instrText>
            </w:r>
            <w:r>
              <w:rPr>
                <w:noProof/>
                <w:webHidden/>
              </w:rPr>
            </w:r>
            <w:r>
              <w:rPr>
                <w:noProof/>
                <w:webHidden/>
              </w:rPr>
              <w:fldChar w:fldCharType="separate"/>
            </w:r>
            <w:r>
              <w:rPr>
                <w:noProof/>
                <w:webHidden/>
              </w:rPr>
              <w:t>5</w:t>
            </w:r>
            <w:r>
              <w:rPr>
                <w:noProof/>
                <w:webHidden/>
              </w:rPr>
              <w:fldChar w:fldCharType="end"/>
            </w:r>
          </w:hyperlink>
        </w:p>
        <w:p w14:paraId="067617FC" w14:textId="1DC32BBD" w:rsidR="00F90977" w:rsidRDefault="00F90977">
          <w:pPr>
            <w:pStyle w:val="TOC2"/>
            <w:tabs>
              <w:tab w:val="right" w:leader="dot" w:pos="9016"/>
            </w:tabs>
            <w:rPr>
              <w:rFonts w:eastAsiaTheme="minorEastAsia"/>
              <w:noProof/>
              <w:lang w:eastAsia="en-IE"/>
            </w:rPr>
          </w:pPr>
          <w:hyperlink w:anchor="_Toc129708556" w:history="1">
            <w:r w:rsidRPr="00F33833">
              <w:rPr>
                <w:rStyle w:val="Hyperlink"/>
                <w:noProof/>
                <w:lang w:val="en-GB"/>
              </w:rPr>
              <w:t>Hypernasality</w:t>
            </w:r>
            <w:r>
              <w:rPr>
                <w:noProof/>
                <w:webHidden/>
              </w:rPr>
              <w:tab/>
            </w:r>
            <w:r>
              <w:rPr>
                <w:noProof/>
                <w:webHidden/>
              </w:rPr>
              <w:fldChar w:fldCharType="begin"/>
            </w:r>
            <w:r>
              <w:rPr>
                <w:noProof/>
                <w:webHidden/>
              </w:rPr>
              <w:instrText xml:space="preserve"> PAGEREF _Toc129708556 \h </w:instrText>
            </w:r>
            <w:r>
              <w:rPr>
                <w:noProof/>
                <w:webHidden/>
              </w:rPr>
            </w:r>
            <w:r>
              <w:rPr>
                <w:noProof/>
                <w:webHidden/>
              </w:rPr>
              <w:fldChar w:fldCharType="separate"/>
            </w:r>
            <w:r>
              <w:rPr>
                <w:noProof/>
                <w:webHidden/>
              </w:rPr>
              <w:t>6</w:t>
            </w:r>
            <w:r>
              <w:rPr>
                <w:noProof/>
                <w:webHidden/>
              </w:rPr>
              <w:fldChar w:fldCharType="end"/>
            </w:r>
          </w:hyperlink>
        </w:p>
        <w:p w14:paraId="7B82DAF0" w14:textId="15907AD1" w:rsidR="00F90977" w:rsidRDefault="00F90977">
          <w:pPr>
            <w:pStyle w:val="TOC2"/>
            <w:tabs>
              <w:tab w:val="right" w:leader="dot" w:pos="9016"/>
            </w:tabs>
            <w:rPr>
              <w:rFonts w:eastAsiaTheme="minorEastAsia"/>
              <w:noProof/>
              <w:lang w:eastAsia="en-IE"/>
            </w:rPr>
          </w:pPr>
          <w:hyperlink w:anchor="_Toc129708557" w:history="1">
            <w:r w:rsidRPr="00F33833">
              <w:rPr>
                <w:rStyle w:val="Hyperlink"/>
                <w:noProof/>
                <w:lang w:eastAsia="en-IE"/>
              </w:rPr>
              <w:t>Hyponasality</w:t>
            </w:r>
            <w:r>
              <w:rPr>
                <w:noProof/>
                <w:webHidden/>
              </w:rPr>
              <w:tab/>
            </w:r>
            <w:r>
              <w:rPr>
                <w:noProof/>
                <w:webHidden/>
              </w:rPr>
              <w:fldChar w:fldCharType="begin"/>
            </w:r>
            <w:r>
              <w:rPr>
                <w:noProof/>
                <w:webHidden/>
              </w:rPr>
              <w:instrText xml:space="preserve"> PAGEREF _Toc129708557 \h </w:instrText>
            </w:r>
            <w:r>
              <w:rPr>
                <w:noProof/>
                <w:webHidden/>
              </w:rPr>
            </w:r>
            <w:r>
              <w:rPr>
                <w:noProof/>
                <w:webHidden/>
              </w:rPr>
              <w:fldChar w:fldCharType="separate"/>
            </w:r>
            <w:r>
              <w:rPr>
                <w:noProof/>
                <w:webHidden/>
              </w:rPr>
              <w:t>2</w:t>
            </w:r>
            <w:r>
              <w:rPr>
                <w:noProof/>
                <w:webHidden/>
              </w:rPr>
              <w:fldChar w:fldCharType="end"/>
            </w:r>
          </w:hyperlink>
        </w:p>
        <w:p w14:paraId="66161276" w14:textId="7BB9FEDC" w:rsidR="00F90977" w:rsidRDefault="00F90977">
          <w:pPr>
            <w:pStyle w:val="TOC2"/>
            <w:tabs>
              <w:tab w:val="right" w:leader="dot" w:pos="9016"/>
            </w:tabs>
            <w:rPr>
              <w:rFonts w:eastAsiaTheme="minorEastAsia"/>
              <w:noProof/>
              <w:lang w:eastAsia="en-IE"/>
            </w:rPr>
          </w:pPr>
          <w:hyperlink w:anchor="_Toc129708558" w:history="1">
            <w:r w:rsidRPr="00F33833">
              <w:rPr>
                <w:rStyle w:val="Hyperlink"/>
                <w:noProof/>
                <w:lang w:eastAsia="en-IE"/>
              </w:rPr>
              <w:t>Nasal emission</w:t>
            </w:r>
            <w:r>
              <w:rPr>
                <w:noProof/>
                <w:webHidden/>
              </w:rPr>
              <w:tab/>
            </w:r>
            <w:r>
              <w:rPr>
                <w:noProof/>
                <w:webHidden/>
              </w:rPr>
              <w:fldChar w:fldCharType="begin"/>
            </w:r>
            <w:r>
              <w:rPr>
                <w:noProof/>
                <w:webHidden/>
              </w:rPr>
              <w:instrText xml:space="preserve"> PAGEREF _Toc129708558 \h </w:instrText>
            </w:r>
            <w:r>
              <w:rPr>
                <w:noProof/>
                <w:webHidden/>
              </w:rPr>
            </w:r>
            <w:r>
              <w:rPr>
                <w:noProof/>
                <w:webHidden/>
              </w:rPr>
              <w:fldChar w:fldCharType="separate"/>
            </w:r>
            <w:r>
              <w:rPr>
                <w:noProof/>
                <w:webHidden/>
              </w:rPr>
              <w:t>3</w:t>
            </w:r>
            <w:r>
              <w:rPr>
                <w:noProof/>
                <w:webHidden/>
              </w:rPr>
              <w:fldChar w:fldCharType="end"/>
            </w:r>
          </w:hyperlink>
        </w:p>
        <w:p w14:paraId="77CF1AA5" w14:textId="5E0CB566" w:rsidR="00F90977" w:rsidRDefault="00F90977">
          <w:pPr>
            <w:pStyle w:val="TOC2"/>
            <w:tabs>
              <w:tab w:val="right" w:leader="dot" w:pos="9016"/>
            </w:tabs>
            <w:rPr>
              <w:rFonts w:eastAsiaTheme="minorEastAsia"/>
              <w:noProof/>
              <w:lang w:eastAsia="en-IE"/>
            </w:rPr>
          </w:pPr>
          <w:hyperlink w:anchor="_Toc129708559" w:history="1">
            <w:r w:rsidRPr="00F33833">
              <w:rPr>
                <w:rStyle w:val="Hyperlink"/>
                <w:noProof/>
              </w:rPr>
              <w:t>Nasal turbulence</w:t>
            </w:r>
            <w:r>
              <w:rPr>
                <w:noProof/>
                <w:webHidden/>
              </w:rPr>
              <w:tab/>
            </w:r>
            <w:r>
              <w:rPr>
                <w:noProof/>
                <w:webHidden/>
              </w:rPr>
              <w:fldChar w:fldCharType="begin"/>
            </w:r>
            <w:r>
              <w:rPr>
                <w:noProof/>
                <w:webHidden/>
              </w:rPr>
              <w:instrText xml:space="preserve"> PAGEREF _Toc129708559 \h </w:instrText>
            </w:r>
            <w:r>
              <w:rPr>
                <w:noProof/>
                <w:webHidden/>
              </w:rPr>
            </w:r>
            <w:r>
              <w:rPr>
                <w:noProof/>
                <w:webHidden/>
              </w:rPr>
              <w:fldChar w:fldCharType="separate"/>
            </w:r>
            <w:r>
              <w:rPr>
                <w:noProof/>
                <w:webHidden/>
              </w:rPr>
              <w:t>4</w:t>
            </w:r>
            <w:r>
              <w:rPr>
                <w:noProof/>
                <w:webHidden/>
              </w:rPr>
              <w:fldChar w:fldCharType="end"/>
            </w:r>
          </w:hyperlink>
        </w:p>
        <w:p w14:paraId="5F3E2DB7" w14:textId="654EA18A" w:rsidR="00F90977" w:rsidRDefault="00F90977">
          <w:pPr>
            <w:pStyle w:val="TOC2"/>
            <w:tabs>
              <w:tab w:val="right" w:leader="dot" w:pos="9016"/>
            </w:tabs>
            <w:rPr>
              <w:rFonts w:eastAsiaTheme="minorEastAsia"/>
              <w:noProof/>
              <w:lang w:eastAsia="en-IE"/>
            </w:rPr>
          </w:pPr>
          <w:hyperlink w:anchor="_Toc129708560" w:history="1">
            <w:r w:rsidRPr="00F33833">
              <w:rPr>
                <w:rStyle w:val="Hyperlink"/>
                <w:noProof/>
              </w:rPr>
              <w:t>Presence or absence of a palatal fistula</w:t>
            </w:r>
            <w:r>
              <w:rPr>
                <w:noProof/>
                <w:webHidden/>
              </w:rPr>
              <w:tab/>
            </w:r>
            <w:r>
              <w:rPr>
                <w:noProof/>
                <w:webHidden/>
              </w:rPr>
              <w:fldChar w:fldCharType="begin"/>
            </w:r>
            <w:r>
              <w:rPr>
                <w:noProof/>
                <w:webHidden/>
              </w:rPr>
              <w:instrText xml:space="preserve"> PAGEREF _Toc129708560 \h </w:instrText>
            </w:r>
            <w:r>
              <w:rPr>
                <w:noProof/>
                <w:webHidden/>
              </w:rPr>
            </w:r>
            <w:r>
              <w:rPr>
                <w:noProof/>
                <w:webHidden/>
              </w:rPr>
              <w:fldChar w:fldCharType="separate"/>
            </w:r>
            <w:r>
              <w:rPr>
                <w:noProof/>
                <w:webHidden/>
              </w:rPr>
              <w:t>5</w:t>
            </w:r>
            <w:r>
              <w:rPr>
                <w:noProof/>
                <w:webHidden/>
              </w:rPr>
              <w:fldChar w:fldCharType="end"/>
            </w:r>
          </w:hyperlink>
        </w:p>
        <w:p w14:paraId="6F6CB665" w14:textId="3168BAD7" w:rsidR="00F90977" w:rsidRDefault="00F90977">
          <w:pPr>
            <w:pStyle w:val="TOC2"/>
            <w:tabs>
              <w:tab w:val="right" w:leader="dot" w:pos="9016"/>
            </w:tabs>
            <w:rPr>
              <w:rFonts w:eastAsiaTheme="minorEastAsia"/>
              <w:noProof/>
              <w:lang w:eastAsia="en-IE"/>
            </w:rPr>
          </w:pPr>
          <w:hyperlink w:anchor="_Toc129708561" w:history="1">
            <w:r w:rsidRPr="00F33833">
              <w:rPr>
                <w:rStyle w:val="Hyperlink"/>
                <w:noProof/>
              </w:rPr>
              <w:t>Syndromic-vs-non-syndromic</w:t>
            </w:r>
            <w:r>
              <w:rPr>
                <w:noProof/>
                <w:webHidden/>
              </w:rPr>
              <w:tab/>
            </w:r>
            <w:r>
              <w:rPr>
                <w:noProof/>
                <w:webHidden/>
              </w:rPr>
              <w:fldChar w:fldCharType="begin"/>
            </w:r>
            <w:r>
              <w:rPr>
                <w:noProof/>
                <w:webHidden/>
              </w:rPr>
              <w:instrText xml:space="preserve"> PAGEREF _Toc129708561 \h </w:instrText>
            </w:r>
            <w:r>
              <w:rPr>
                <w:noProof/>
                <w:webHidden/>
              </w:rPr>
            </w:r>
            <w:r>
              <w:rPr>
                <w:noProof/>
                <w:webHidden/>
              </w:rPr>
              <w:fldChar w:fldCharType="separate"/>
            </w:r>
            <w:r>
              <w:rPr>
                <w:noProof/>
                <w:webHidden/>
              </w:rPr>
              <w:t>6</w:t>
            </w:r>
            <w:r>
              <w:rPr>
                <w:noProof/>
                <w:webHidden/>
              </w:rPr>
              <w:fldChar w:fldCharType="end"/>
            </w:r>
          </w:hyperlink>
        </w:p>
        <w:p w14:paraId="389E36A1" w14:textId="34083A81" w:rsidR="00F90977" w:rsidRDefault="00F90977">
          <w:pPr>
            <w:pStyle w:val="TOC2"/>
            <w:tabs>
              <w:tab w:val="right" w:leader="dot" w:pos="9016"/>
            </w:tabs>
            <w:rPr>
              <w:rFonts w:eastAsiaTheme="minorEastAsia"/>
              <w:noProof/>
              <w:lang w:eastAsia="en-IE"/>
            </w:rPr>
          </w:pPr>
          <w:hyperlink w:anchor="_Toc129708562" w:history="1">
            <w:r w:rsidRPr="00F33833">
              <w:rPr>
                <w:rStyle w:val="Hyperlink"/>
                <w:noProof/>
              </w:rPr>
              <w:t>Re-operation</w:t>
            </w:r>
            <w:r>
              <w:rPr>
                <w:noProof/>
                <w:webHidden/>
              </w:rPr>
              <w:tab/>
            </w:r>
            <w:r>
              <w:rPr>
                <w:noProof/>
                <w:webHidden/>
              </w:rPr>
              <w:fldChar w:fldCharType="begin"/>
            </w:r>
            <w:r>
              <w:rPr>
                <w:noProof/>
                <w:webHidden/>
              </w:rPr>
              <w:instrText xml:space="preserve"> PAGEREF _Toc129708562 \h </w:instrText>
            </w:r>
            <w:r>
              <w:rPr>
                <w:noProof/>
                <w:webHidden/>
              </w:rPr>
            </w:r>
            <w:r>
              <w:rPr>
                <w:noProof/>
                <w:webHidden/>
              </w:rPr>
              <w:fldChar w:fldCharType="separate"/>
            </w:r>
            <w:r>
              <w:rPr>
                <w:noProof/>
                <w:webHidden/>
              </w:rPr>
              <w:t>7</w:t>
            </w:r>
            <w:r>
              <w:rPr>
                <w:noProof/>
                <w:webHidden/>
              </w:rPr>
              <w:fldChar w:fldCharType="end"/>
            </w:r>
          </w:hyperlink>
        </w:p>
        <w:p w14:paraId="28A294BC" w14:textId="71C124D5" w:rsidR="00F90977" w:rsidRDefault="00F90977">
          <w:pPr>
            <w:pStyle w:val="TOC1"/>
            <w:tabs>
              <w:tab w:val="right" w:leader="dot" w:pos="9016"/>
            </w:tabs>
            <w:rPr>
              <w:rFonts w:eastAsiaTheme="minorEastAsia"/>
              <w:noProof/>
              <w:lang w:eastAsia="en-IE"/>
            </w:rPr>
          </w:pPr>
          <w:hyperlink w:anchor="_Toc129708563" w:history="1">
            <w:r w:rsidRPr="00F33833">
              <w:rPr>
                <w:rStyle w:val="Hyperlink"/>
                <w:noProof/>
              </w:rPr>
              <w:t>Discussion</w:t>
            </w:r>
            <w:r>
              <w:rPr>
                <w:noProof/>
                <w:webHidden/>
              </w:rPr>
              <w:tab/>
            </w:r>
            <w:r>
              <w:rPr>
                <w:noProof/>
                <w:webHidden/>
              </w:rPr>
              <w:fldChar w:fldCharType="begin"/>
            </w:r>
            <w:r>
              <w:rPr>
                <w:noProof/>
                <w:webHidden/>
              </w:rPr>
              <w:instrText xml:space="preserve"> PAGEREF _Toc129708563 \h </w:instrText>
            </w:r>
            <w:r>
              <w:rPr>
                <w:noProof/>
                <w:webHidden/>
              </w:rPr>
            </w:r>
            <w:r>
              <w:rPr>
                <w:noProof/>
                <w:webHidden/>
              </w:rPr>
              <w:fldChar w:fldCharType="separate"/>
            </w:r>
            <w:r>
              <w:rPr>
                <w:noProof/>
                <w:webHidden/>
              </w:rPr>
              <w:t>9</w:t>
            </w:r>
            <w:r>
              <w:rPr>
                <w:noProof/>
                <w:webHidden/>
              </w:rPr>
              <w:fldChar w:fldCharType="end"/>
            </w:r>
          </w:hyperlink>
        </w:p>
        <w:p w14:paraId="0030A666" w14:textId="281283D5" w:rsidR="00F90977" w:rsidRDefault="00F90977">
          <w:pPr>
            <w:pStyle w:val="TOC2"/>
            <w:tabs>
              <w:tab w:val="right" w:leader="dot" w:pos="9016"/>
            </w:tabs>
            <w:rPr>
              <w:rFonts w:eastAsiaTheme="minorEastAsia"/>
              <w:noProof/>
              <w:lang w:eastAsia="en-IE"/>
            </w:rPr>
          </w:pPr>
          <w:hyperlink w:anchor="_Toc129708564" w:history="1">
            <w:r w:rsidRPr="00F33833">
              <w:rPr>
                <w:rStyle w:val="Hyperlink"/>
                <w:noProof/>
              </w:rPr>
              <w:t>Demographics</w:t>
            </w:r>
            <w:r>
              <w:rPr>
                <w:noProof/>
                <w:webHidden/>
              </w:rPr>
              <w:tab/>
            </w:r>
            <w:r>
              <w:rPr>
                <w:noProof/>
                <w:webHidden/>
              </w:rPr>
              <w:fldChar w:fldCharType="begin"/>
            </w:r>
            <w:r>
              <w:rPr>
                <w:noProof/>
                <w:webHidden/>
              </w:rPr>
              <w:instrText xml:space="preserve"> PAGEREF _Toc129708564 \h </w:instrText>
            </w:r>
            <w:r>
              <w:rPr>
                <w:noProof/>
                <w:webHidden/>
              </w:rPr>
            </w:r>
            <w:r>
              <w:rPr>
                <w:noProof/>
                <w:webHidden/>
              </w:rPr>
              <w:fldChar w:fldCharType="separate"/>
            </w:r>
            <w:r>
              <w:rPr>
                <w:noProof/>
                <w:webHidden/>
              </w:rPr>
              <w:t>10</w:t>
            </w:r>
            <w:r>
              <w:rPr>
                <w:noProof/>
                <w:webHidden/>
              </w:rPr>
              <w:fldChar w:fldCharType="end"/>
            </w:r>
          </w:hyperlink>
        </w:p>
        <w:p w14:paraId="656C5013" w14:textId="1BC11F37" w:rsidR="00F90977" w:rsidRDefault="00F90977">
          <w:pPr>
            <w:pStyle w:val="TOC2"/>
            <w:tabs>
              <w:tab w:val="right" w:leader="dot" w:pos="9016"/>
            </w:tabs>
            <w:rPr>
              <w:rFonts w:eastAsiaTheme="minorEastAsia"/>
              <w:noProof/>
              <w:lang w:eastAsia="en-IE"/>
            </w:rPr>
          </w:pPr>
          <w:hyperlink w:anchor="_Toc129708565" w:history="1">
            <w:r w:rsidRPr="00F33833">
              <w:rPr>
                <w:rStyle w:val="Hyperlink"/>
                <w:noProof/>
                <w:lang w:eastAsia="en-IE"/>
              </w:rPr>
              <w:t>Need for further surgery</w:t>
            </w:r>
            <w:r>
              <w:rPr>
                <w:noProof/>
                <w:webHidden/>
              </w:rPr>
              <w:tab/>
            </w:r>
            <w:r>
              <w:rPr>
                <w:noProof/>
                <w:webHidden/>
              </w:rPr>
              <w:fldChar w:fldCharType="begin"/>
            </w:r>
            <w:r>
              <w:rPr>
                <w:noProof/>
                <w:webHidden/>
              </w:rPr>
              <w:instrText xml:space="preserve"> PAGEREF _Toc129708565 \h </w:instrText>
            </w:r>
            <w:r>
              <w:rPr>
                <w:noProof/>
                <w:webHidden/>
              </w:rPr>
            </w:r>
            <w:r>
              <w:rPr>
                <w:noProof/>
                <w:webHidden/>
              </w:rPr>
              <w:fldChar w:fldCharType="separate"/>
            </w:r>
            <w:r>
              <w:rPr>
                <w:noProof/>
                <w:webHidden/>
              </w:rPr>
              <w:t>10</w:t>
            </w:r>
            <w:r>
              <w:rPr>
                <w:noProof/>
                <w:webHidden/>
              </w:rPr>
              <w:fldChar w:fldCharType="end"/>
            </w:r>
          </w:hyperlink>
        </w:p>
        <w:p w14:paraId="0748CB83" w14:textId="11A2AC1D" w:rsidR="00F90977" w:rsidRDefault="00F90977">
          <w:pPr>
            <w:pStyle w:val="TOC2"/>
            <w:tabs>
              <w:tab w:val="right" w:leader="dot" w:pos="9016"/>
            </w:tabs>
            <w:rPr>
              <w:rFonts w:eastAsiaTheme="minorEastAsia"/>
              <w:noProof/>
              <w:lang w:eastAsia="en-IE"/>
            </w:rPr>
          </w:pPr>
          <w:hyperlink w:anchor="_Toc129708566" w:history="1">
            <w:r w:rsidRPr="00F33833">
              <w:rPr>
                <w:rStyle w:val="Hyperlink"/>
                <w:noProof/>
                <w:lang w:eastAsia="en-IE"/>
              </w:rPr>
              <w:t>Cleft type</w:t>
            </w:r>
            <w:r>
              <w:rPr>
                <w:noProof/>
                <w:webHidden/>
              </w:rPr>
              <w:tab/>
            </w:r>
            <w:r>
              <w:rPr>
                <w:noProof/>
                <w:webHidden/>
              </w:rPr>
              <w:fldChar w:fldCharType="begin"/>
            </w:r>
            <w:r>
              <w:rPr>
                <w:noProof/>
                <w:webHidden/>
              </w:rPr>
              <w:instrText xml:space="preserve"> PAGEREF _Toc129708566 \h </w:instrText>
            </w:r>
            <w:r>
              <w:rPr>
                <w:noProof/>
                <w:webHidden/>
              </w:rPr>
            </w:r>
            <w:r>
              <w:rPr>
                <w:noProof/>
                <w:webHidden/>
              </w:rPr>
              <w:fldChar w:fldCharType="separate"/>
            </w:r>
            <w:r>
              <w:rPr>
                <w:noProof/>
                <w:webHidden/>
              </w:rPr>
              <w:t>10</w:t>
            </w:r>
            <w:r>
              <w:rPr>
                <w:noProof/>
                <w:webHidden/>
              </w:rPr>
              <w:fldChar w:fldCharType="end"/>
            </w:r>
          </w:hyperlink>
        </w:p>
        <w:p w14:paraId="0EB423F4" w14:textId="00397938" w:rsidR="00F90977" w:rsidRDefault="00F90977">
          <w:pPr>
            <w:pStyle w:val="TOC2"/>
            <w:tabs>
              <w:tab w:val="right" w:leader="dot" w:pos="9016"/>
            </w:tabs>
            <w:rPr>
              <w:rFonts w:eastAsiaTheme="minorEastAsia"/>
              <w:noProof/>
              <w:lang w:eastAsia="en-IE"/>
            </w:rPr>
          </w:pPr>
          <w:hyperlink w:anchor="_Toc129708567" w:history="1">
            <w:r w:rsidRPr="00F33833">
              <w:rPr>
                <w:rStyle w:val="Hyperlink"/>
                <w:noProof/>
                <w:lang w:eastAsia="en-IE"/>
              </w:rPr>
              <w:t>Speech outcomes</w:t>
            </w:r>
            <w:r>
              <w:rPr>
                <w:noProof/>
                <w:webHidden/>
              </w:rPr>
              <w:tab/>
            </w:r>
            <w:r>
              <w:rPr>
                <w:noProof/>
                <w:webHidden/>
              </w:rPr>
              <w:fldChar w:fldCharType="begin"/>
            </w:r>
            <w:r>
              <w:rPr>
                <w:noProof/>
                <w:webHidden/>
              </w:rPr>
              <w:instrText xml:space="preserve"> PAGEREF _Toc129708567 \h </w:instrText>
            </w:r>
            <w:r>
              <w:rPr>
                <w:noProof/>
                <w:webHidden/>
              </w:rPr>
            </w:r>
            <w:r>
              <w:rPr>
                <w:noProof/>
                <w:webHidden/>
              </w:rPr>
              <w:fldChar w:fldCharType="separate"/>
            </w:r>
            <w:r>
              <w:rPr>
                <w:noProof/>
                <w:webHidden/>
              </w:rPr>
              <w:t>11</w:t>
            </w:r>
            <w:r>
              <w:rPr>
                <w:noProof/>
                <w:webHidden/>
              </w:rPr>
              <w:fldChar w:fldCharType="end"/>
            </w:r>
          </w:hyperlink>
        </w:p>
        <w:p w14:paraId="2FD4066F" w14:textId="31F66A75" w:rsidR="00F90977" w:rsidRDefault="00F90977">
          <w:pPr>
            <w:pStyle w:val="TOC2"/>
            <w:tabs>
              <w:tab w:val="right" w:leader="dot" w:pos="9016"/>
            </w:tabs>
            <w:rPr>
              <w:rFonts w:eastAsiaTheme="minorEastAsia"/>
              <w:noProof/>
              <w:lang w:eastAsia="en-IE"/>
            </w:rPr>
          </w:pPr>
          <w:hyperlink w:anchor="_Toc129708568" w:history="1">
            <w:r w:rsidRPr="00F33833">
              <w:rPr>
                <w:rStyle w:val="Hyperlink"/>
                <w:noProof/>
                <w:lang w:eastAsia="en-IE"/>
              </w:rPr>
              <w:t>Hypernasality and hyponasality</w:t>
            </w:r>
            <w:r>
              <w:rPr>
                <w:noProof/>
                <w:webHidden/>
              </w:rPr>
              <w:tab/>
            </w:r>
            <w:r>
              <w:rPr>
                <w:noProof/>
                <w:webHidden/>
              </w:rPr>
              <w:fldChar w:fldCharType="begin"/>
            </w:r>
            <w:r>
              <w:rPr>
                <w:noProof/>
                <w:webHidden/>
              </w:rPr>
              <w:instrText xml:space="preserve"> PAGEREF _Toc129708568 \h </w:instrText>
            </w:r>
            <w:r>
              <w:rPr>
                <w:noProof/>
                <w:webHidden/>
              </w:rPr>
            </w:r>
            <w:r>
              <w:rPr>
                <w:noProof/>
                <w:webHidden/>
              </w:rPr>
              <w:fldChar w:fldCharType="separate"/>
            </w:r>
            <w:r>
              <w:rPr>
                <w:noProof/>
                <w:webHidden/>
              </w:rPr>
              <w:t>11</w:t>
            </w:r>
            <w:r>
              <w:rPr>
                <w:noProof/>
                <w:webHidden/>
              </w:rPr>
              <w:fldChar w:fldCharType="end"/>
            </w:r>
          </w:hyperlink>
        </w:p>
        <w:p w14:paraId="74078C0A" w14:textId="1A4B9AF5" w:rsidR="00F90977" w:rsidRDefault="00F90977">
          <w:pPr>
            <w:pStyle w:val="TOC2"/>
            <w:tabs>
              <w:tab w:val="right" w:leader="dot" w:pos="9016"/>
            </w:tabs>
            <w:rPr>
              <w:rFonts w:eastAsiaTheme="minorEastAsia"/>
              <w:noProof/>
              <w:lang w:eastAsia="en-IE"/>
            </w:rPr>
          </w:pPr>
          <w:hyperlink w:anchor="_Toc129708569" w:history="1">
            <w:r w:rsidRPr="00F33833">
              <w:rPr>
                <w:rStyle w:val="Hyperlink"/>
                <w:noProof/>
                <w:lang w:eastAsia="en-IE"/>
              </w:rPr>
              <w:t>Nasal emission and nasal turbulence</w:t>
            </w:r>
            <w:r>
              <w:rPr>
                <w:noProof/>
                <w:webHidden/>
              </w:rPr>
              <w:tab/>
            </w:r>
            <w:r>
              <w:rPr>
                <w:noProof/>
                <w:webHidden/>
              </w:rPr>
              <w:fldChar w:fldCharType="begin"/>
            </w:r>
            <w:r>
              <w:rPr>
                <w:noProof/>
                <w:webHidden/>
              </w:rPr>
              <w:instrText xml:space="preserve"> PAGEREF _Toc129708569 \h </w:instrText>
            </w:r>
            <w:r>
              <w:rPr>
                <w:noProof/>
                <w:webHidden/>
              </w:rPr>
            </w:r>
            <w:r>
              <w:rPr>
                <w:noProof/>
                <w:webHidden/>
              </w:rPr>
              <w:fldChar w:fldCharType="separate"/>
            </w:r>
            <w:r>
              <w:rPr>
                <w:noProof/>
                <w:webHidden/>
              </w:rPr>
              <w:t>11</w:t>
            </w:r>
            <w:r>
              <w:rPr>
                <w:noProof/>
                <w:webHidden/>
              </w:rPr>
              <w:fldChar w:fldCharType="end"/>
            </w:r>
          </w:hyperlink>
        </w:p>
        <w:p w14:paraId="609452EB" w14:textId="00B0C284" w:rsidR="00F90977" w:rsidRDefault="00F90977">
          <w:pPr>
            <w:pStyle w:val="TOC2"/>
            <w:tabs>
              <w:tab w:val="right" w:leader="dot" w:pos="9016"/>
            </w:tabs>
            <w:rPr>
              <w:rFonts w:eastAsiaTheme="minorEastAsia"/>
              <w:noProof/>
              <w:lang w:eastAsia="en-IE"/>
            </w:rPr>
          </w:pPr>
          <w:hyperlink w:anchor="_Toc129708570" w:history="1">
            <w:r w:rsidRPr="00F33833">
              <w:rPr>
                <w:rStyle w:val="Hyperlink"/>
                <w:noProof/>
                <w:lang w:eastAsia="en-IE"/>
              </w:rPr>
              <w:t>Palatal fistula presence</w:t>
            </w:r>
            <w:r>
              <w:rPr>
                <w:noProof/>
                <w:webHidden/>
              </w:rPr>
              <w:tab/>
            </w:r>
            <w:r>
              <w:rPr>
                <w:noProof/>
                <w:webHidden/>
              </w:rPr>
              <w:fldChar w:fldCharType="begin"/>
            </w:r>
            <w:r>
              <w:rPr>
                <w:noProof/>
                <w:webHidden/>
              </w:rPr>
              <w:instrText xml:space="preserve"> PAGEREF _Toc129708570 \h </w:instrText>
            </w:r>
            <w:r>
              <w:rPr>
                <w:noProof/>
                <w:webHidden/>
              </w:rPr>
            </w:r>
            <w:r>
              <w:rPr>
                <w:noProof/>
                <w:webHidden/>
              </w:rPr>
              <w:fldChar w:fldCharType="separate"/>
            </w:r>
            <w:r>
              <w:rPr>
                <w:noProof/>
                <w:webHidden/>
              </w:rPr>
              <w:t>12</w:t>
            </w:r>
            <w:r>
              <w:rPr>
                <w:noProof/>
                <w:webHidden/>
              </w:rPr>
              <w:fldChar w:fldCharType="end"/>
            </w:r>
          </w:hyperlink>
        </w:p>
        <w:p w14:paraId="353DE1CE" w14:textId="24F645D5" w:rsidR="00F90977" w:rsidRDefault="00F90977">
          <w:pPr>
            <w:pStyle w:val="TOC2"/>
            <w:tabs>
              <w:tab w:val="right" w:leader="dot" w:pos="9016"/>
            </w:tabs>
            <w:rPr>
              <w:rFonts w:eastAsiaTheme="minorEastAsia"/>
              <w:noProof/>
              <w:lang w:eastAsia="en-IE"/>
            </w:rPr>
          </w:pPr>
          <w:hyperlink w:anchor="_Toc129708571" w:history="1">
            <w:r w:rsidRPr="00F33833">
              <w:rPr>
                <w:rStyle w:val="Hyperlink"/>
                <w:noProof/>
                <w:lang w:eastAsia="en-IE"/>
              </w:rPr>
              <w:t>Syndromic patients</w:t>
            </w:r>
            <w:r>
              <w:rPr>
                <w:noProof/>
                <w:webHidden/>
              </w:rPr>
              <w:tab/>
            </w:r>
            <w:r>
              <w:rPr>
                <w:noProof/>
                <w:webHidden/>
              </w:rPr>
              <w:fldChar w:fldCharType="begin"/>
            </w:r>
            <w:r>
              <w:rPr>
                <w:noProof/>
                <w:webHidden/>
              </w:rPr>
              <w:instrText xml:space="preserve"> PAGEREF _Toc129708571 \h </w:instrText>
            </w:r>
            <w:r>
              <w:rPr>
                <w:noProof/>
                <w:webHidden/>
              </w:rPr>
            </w:r>
            <w:r>
              <w:rPr>
                <w:noProof/>
                <w:webHidden/>
              </w:rPr>
              <w:fldChar w:fldCharType="separate"/>
            </w:r>
            <w:r>
              <w:rPr>
                <w:noProof/>
                <w:webHidden/>
              </w:rPr>
              <w:t>12</w:t>
            </w:r>
            <w:r>
              <w:rPr>
                <w:noProof/>
                <w:webHidden/>
              </w:rPr>
              <w:fldChar w:fldCharType="end"/>
            </w:r>
          </w:hyperlink>
        </w:p>
        <w:p w14:paraId="220C6CE9" w14:textId="342CDD59" w:rsidR="00F90977" w:rsidRDefault="00F90977">
          <w:pPr>
            <w:pStyle w:val="TOC2"/>
            <w:tabs>
              <w:tab w:val="right" w:leader="dot" w:pos="9016"/>
            </w:tabs>
            <w:rPr>
              <w:rFonts w:eastAsiaTheme="minorEastAsia"/>
              <w:noProof/>
              <w:lang w:eastAsia="en-IE"/>
            </w:rPr>
          </w:pPr>
          <w:hyperlink w:anchor="_Toc129708572" w:history="1">
            <w:r w:rsidRPr="00F33833">
              <w:rPr>
                <w:rStyle w:val="Hyperlink"/>
                <w:noProof/>
                <w:lang w:eastAsia="en-IE"/>
              </w:rPr>
              <w:t>Re-operation</w:t>
            </w:r>
            <w:r>
              <w:rPr>
                <w:noProof/>
                <w:webHidden/>
              </w:rPr>
              <w:tab/>
            </w:r>
            <w:r>
              <w:rPr>
                <w:noProof/>
                <w:webHidden/>
              </w:rPr>
              <w:fldChar w:fldCharType="begin"/>
            </w:r>
            <w:r>
              <w:rPr>
                <w:noProof/>
                <w:webHidden/>
              </w:rPr>
              <w:instrText xml:space="preserve"> PAGEREF _Toc129708572 \h </w:instrText>
            </w:r>
            <w:r>
              <w:rPr>
                <w:noProof/>
                <w:webHidden/>
              </w:rPr>
            </w:r>
            <w:r>
              <w:rPr>
                <w:noProof/>
                <w:webHidden/>
              </w:rPr>
              <w:fldChar w:fldCharType="separate"/>
            </w:r>
            <w:r>
              <w:rPr>
                <w:noProof/>
                <w:webHidden/>
              </w:rPr>
              <w:t>12</w:t>
            </w:r>
            <w:r>
              <w:rPr>
                <w:noProof/>
                <w:webHidden/>
              </w:rPr>
              <w:fldChar w:fldCharType="end"/>
            </w:r>
          </w:hyperlink>
        </w:p>
        <w:p w14:paraId="51BAEEA6" w14:textId="49A3A5D8" w:rsidR="00F90977" w:rsidRDefault="00F90977">
          <w:pPr>
            <w:pStyle w:val="TOC1"/>
            <w:tabs>
              <w:tab w:val="right" w:leader="dot" w:pos="9016"/>
            </w:tabs>
            <w:rPr>
              <w:rFonts w:eastAsiaTheme="minorEastAsia"/>
              <w:noProof/>
              <w:lang w:eastAsia="en-IE"/>
            </w:rPr>
          </w:pPr>
          <w:hyperlink w:anchor="_Toc129708573" w:history="1">
            <w:r w:rsidRPr="00F33833">
              <w:rPr>
                <w:rStyle w:val="Hyperlink"/>
                <w:noProof/>
              </w:rPr>
              <w:t>Conclusions</w:t>
            </w:r>
            <w:r>
              <w:rPr>
                <w:noProof/>
                <w:webHidden/>
              </w:rPr>
              <w:tab/>
            </w:r>
            <w:r>
              <w:rPr>
                <w:noProof/>
                <w:webHidden/>
              </w:rPr>
              <w:fldChar w:fldCharType="begin"/>
            </w:r>
            <w:r>
              <w:rPr>
                <w:noProof/>
                <w:webHidden/>
              </w:rPr>
              <w:instrText xml:space="preserve"> PAGEREF _Toc129708573 \h </w:instrText>
            </w:r>
            <w:r>
              <w:rPr>
                <w:noProof/>
                <w:webHidden/>
              </w:rPr>
            </w:r>
            <w:r>
              <w:rPr>
                <w:noProof/>
                <w:webHidden/>
              </w:rPr>
              <w:fldChar w:fldCharType="separate"/>
            </w:r>
            <w:r>
              <w:rPr>
                <w:noProof/>
                <w:webHidden/>
              </w:rPr>
              <w:t>13</w:t>
            </w:r>
            <w:r>
              <w:rPr>
                <w:noProof/>
                <w:webHidden/>
              </w:rPr>
              <w:fldChar w:fldCharType="end"/>
            </w:r>
          </w:hyperlink>
        </w:p>
        <w:p w14:paraId="0B624580" w14:textId="7881F9E2" w:rsidR="00F90977" w:rsidRDefault="00F90977">
          <w:pPr>
            <w:pStyle w:val="TOC1"/>
            <w:tabs>
              <w:tab w:val="right" w:leader="dot" w:pos="9016"/>
            </w:tabs>
            <w:rPr>
              <w:rFonts w:eastAsiaTheme="minorEastAsia"/>
              <w:noProof/>
              <w:lang w:eastAsia="en-IE"/>
            </w:rPr>
          </w:pPr>
          <w:hyperlink w:anchor="_Toc129708574" w:history="1">
            <w:r w:rsidRPr="00F33833">
              <w:rPr>
                <w:rStyle w:val="Hyperlink"/>
                <w:noProof/>
              </w:rPr>
              <w:t>References</w:t>
            </w:r>
            <w:r>
              <w:rPr>
                <w:noProof/>
                <w:webHidden/>
              </w:rPr>
              <w:tab/>
            </w:r>
            <w:r>
              <w:rPr>
                <w:noProof/>
                <w:webHidden/>
              </w:rPr>
              <w:fldChar w:fldCharType="begin"/>
            </w:r>
            <w:r>
              <w:rPr>
                <w:noProof/>
                <w:webHidden/>
              </w:rPr>
              <w:instrText xml:space="preserve"> PAGEREF _Toc129708574 \h </w:instrText>
            </w:r>
            <w:r>
              <w:rPr>
                <w:noProof/>
                <w:webHidden/>
              </w:rPr>
            </w:r>
            <w:r>
              <w:rPr>
                <w:noProof/>
                <w:webHidden/>
              </w:rPr>
              <w:fldChar w:fldCharType="separate"/>
            </w:r>
            <w:r>
              <w:rPr>
                <w:noProof/>
                <w:webHidden/>
              </w:rPr>
              <w:t>14</w:t>
            </w:r>
            <w:r>
              <w:rPr>
                <w:noProof/>
                <w:webHidden/>
              </w:rPr>
              <w:fldChar w:fldCharType="end"/>
            </w:r>
          </w:hyperlink>
        </w:p>
        <w:p w14:paraId="75A30874" w14:textId="54110841" w:rsidR="00E72D47" w:rsidRDefault="00512D07">
          <w:r>
            <w:rPr>
              <w:b/>
              <w:bCs/>
              <w:noProof/>
            </w:rPr>
            <w:fldChar w:fldCharType="end"/>
          </w:r>
        </w:p>
      </w:sdtContent>
    </w:sdt>
    <w:p w14:paraId="4575836E" w14:textId="14DC3E46" w:rsidR="00AA4B5F" w:rsidRDefault="00AA4B5F" w:rsidP="00AA4B5F">
      <w:pPr>
        <w:pStyle w:val="Heading1"/>
      </w:pPr>
      <w:bookmarkStart w:id="5" w:name="_Toc129708549"/>
      <w:r>
        <w:lastRenderedPageBreak/>
        <w:t>Introduction</w:t>
      </w:r>
      <w:bookmarkEnd w:id="5"/>
    </w:p>
    <w:p w14:paraId="10C6C36C" w14:textId="655605E9" w:rsidR="00B55D7D" w:rsidRDefault="003F268F" w:rsidP="00DC4625">
      <w:pPr>
        <w:pStyle w:val="xmsonormal"/>
        <w:jc w:val="both"/>
        <w:rPr>
          <w:lang w:val="en-GB"/>
        </w:rPr>
      </w:pPr>
      <w:r>
        <w:rPr>
          <w:lang w:val="en-GB"/>
        </w:rPr>
        <w:t>In primary cleft palate repair</w:t>
      </w:r>
      <w:r w:rsidR="00EF7B04">
        <w:rPr>
          <w:lang w:val="en-GB"/>
        </w:rPr>
        <w:t xml:space="preserve"> surgery</w:t>
      </w:r>
      <w:r>
        <w:rPr>
          <w:lang w:val="en-GB"/>
        </w:rPr>
        <w:t>,</w:t>
      </w:r>
      <w:r w:rsidR="00EF7B04">
        <w:rPr>
          <w:lang w:val="en-GB"/>
        </w:rPr>
        <w:t xml:space="preserve"> the major aim of treatment is to</w:t>
      </w:r>
      <w:r>
        <w:rPr>
          <w:lang w:val="en-GB"/>
        </w:rPr>
        <w:t xml:space="preserve"> achiev</w:t>
      </w:r>
      <w:r w:rsidR="00EF7B04">
        <w:rPr>
          <w:lang w:val="en-GB"/>
        </w:rPr>
        <w:t>e velopharyngeal sufficiency which results in</w:t>
      </w:r>
      <w:r>
        <w:rPr>
          <w:lang w:val="en-GB"/>
        </w:rPr>
        <w:t xml:space="preserve"> normal speech </w:t>
      </w:r>
      <w:r w:rsidR="00EF7B04">
        <w:rPr>
          <w:lang w:val="en-GB"/>
        </w:rPr>
        <w:t>and palatal function.</w:t>
      </w:r>
      <w:r w:rsidR="00EF7B04">
        <w:rPr>
          <w:lang w:val="en-GB"/>
        </w:rPr>
        <w:fldChar w:fldCharType="begin" w:fldLock="1"/>
      </w:r>
      <w:r w:rsidR="001D1EE6">
        <w:rPr>
          <w:lang w:val="en-GB"/>
        </w:rPr>
        <w:instrText>ADDIN CSL_CITATION {"citationItems":[{"id":"ITEM-1","itemData":{"DOI":"10.1097/PRS.0B013E3182268E1B","ISSN":"00321052","PMID":"21921748","abstract":"LEARNING OBJECTIVES: After reading this article, the participant should be able to: 1. Recognize the clinical features associated with unilateral cleft lip, bilateral cleft lip, the cleft lip nasal deformity, cleft palate, and velopharyngeal insufficiency. 2. Describe the most frequently used techniques for repair of cleft lip and palate. 3. Diagnose and treat velopharyngeal insufficiency. SUMMARY: This article provides an introduction to the anatomical and clinical features of the primary deformities associated with unilateral cleft lip-cleft palate, bilateral cleft lip-cleft palate, and cleft palate. The diagnosis and management of secondary velopharyngeal insufficiency are discussed. The accompanying videos demonstrate the features of the cleft lip nasal deformities and reliable surgical techniques for unilateral cleft lip repair, bilateral cleft lip repair, and radical intravelar veloplasty. Copyright © 2011 by the American Society of Plastic Surgeons.","author":[{"dropping-particle":"","family":"Fisher","given":"David M.","non-dropping-particle":"","parse-names":false,"suffix":""},{"dropping-particle":"","family":"Sommerlad","given":"Brian C.","non-dropping-particle":"","parse-names":false,"suffix":""}],"container-title":"Plastic and Reconstructive Surgery","id":"ITEM-1","issue":"4","issued":{"date-parts":[["2011","10"]]},"title":"Cleft lip, cleft palate, and velopharyngeal insufficiency","type":"article-journal","volume":"128"},"uris":["http://www.mendeley.com/documents/?uuid=ea22f1d5-6dfe-3021-b9f5-4e74ef2f5bca"]}],"mendeley":{"formattedCitation":"&lt;sup&gt;1&lt;/sup&gt;","plainTextFormattedCitation":"1","previouslyFormattedCitation":"&lt;sup&gt;1&lt;/sup&gt;"},"properties":{"noteIndex":0},"schema":"https://github.com/citation-style-language/schema/raw/master/csl-citation.json"}</w:instrText>
      </w:r>
      <w:r w:rsidR="00EF7B04">
        <w:rPr>
          <w:lang w:val="en-GB"/>
        </w:rPr>
        <w:fldChar w:fldCharType="separate"/>
      </w:r>
      <w:r w:rsidR="00EF7B04" w:rsidRPr="00EF7B04">
        <w:rPr>
          <w:noProof/>
          <w:vertAlign w:val="superscript"/>
          <w:lang w:val="en-GB"/>
        </w:rPr>
        <w:t>1</w:t>
      </w:r>
      <w:r w:rsidR="00EF7B04">
        <w:rPr>
          <w:lang w:val="en-GB"/>
        </w:rPr>
        <w:fldChar w:fldCharType="end"/>
      </w:r>
      <w:r w:rsidR="00EF7B04">
        <w:rPr>
          <w:lang w:val="en-GB"/>
        </w:rPr>
        <w:t xml:space="preserve"> </w:t>
      </w:r>
      <w:r w:rsidR="00B55D7D">
        <w:rPr>
          <w:lang w:val="en-GB"/>
        </w:rPr>
        <w:t>However, following cleft palate repair, it has been reported that between 20% and 50% patients will go on to develop velopharygneal insufficiency (VPI).</w:t>
      </w:r>
      <w:r w:rsidR="00B55D7D">
        <w:rPr>
          <w:lang w:val="en-GB"/>
        </w:rPr>
        <w:fldChar w:fldCharType="begin" w:fldLock="1"/>
      </w:r>
      <w:r w:rsidR="00B55D7D">
        <w:rPr>
          <w:lang w:val="en-GB"/>
        </w:rPr>
        <w:instrText>ADDIN CSL_CITATION {"citationItems":[{"id":"ITEM-1","itemData":{"DOI":"10.1177/1055665620902883","ISSN":"15451569","PMID":"32070129","abstract":"Background: Palate re-repair has been proposed as an effective treatment for velopharyngeal insufficiency (VPI) with a low risk of obstructive sleep apnea (OSA). The authors conducted a systematic review and meta-analysis to determine the proportion of patients achieving normal speech resonance following palate re-repair for VPI, the proportion developing OSA, and the criteria for patient selection that are associated with increased effectiveness. Methods: PubMed, Embase, and Scopus were searched from inception through April 2018 for English language articles evaluating palate re-repair for the treatment of VPI in patients with a repaired cleft palate. Inclusion criteria included reporting of hypernasality, nasal air emission, nasometry, additional VPI surgery, and/or OSA outcomes. Meta-analysis was conducted using random effects models. Risk of bias was assessed regarding criteria for patient selection, blinding of outcome assessors, and validity of speech assessment scale. Results: Eighteen studies met inclusion criteria. The incidence of achieving no consistent hypernasality follow palate re-repair was 61% (95% confidence interval [CI]: 44%-75%). The incidence of additional surgery for persistent VPI symptoms was 21% (95% CI: 12%-33%). The incidence of OSA was 28% (95% CI: 13%-49%). Criteria for selecting patients to undergo re-repair varied, with anterior/sagittal position of palatal muscles (33%) and small velopharyngeal gap (22%) being the most common. No specific patient selection criteria led to superior speech outcomes (P =.6572). Conclusions: Palate re-repair achieves normal speech resonance in many but not all patients with VPI. Further research is needed to identify the specific examination and imaging findings that predict successful correction of VPI with re-repair.","author":[{"dropping-particle":"","family":"Kurnik","given":"Nicole M.","non-dropping-particle":"","parse-names":false,"suffix":""},{"dropping-particle":"","family":"Weidler","given":"Erica M.","non-dropping-particle":"","parse-names":false,"suffix":""},{"dropping-particle":"","family":"Lien","given":"Kari M.","non-dropping-particle":"","parse-names":false,"suffix":""},{"dropping-particle":"","family":"Cordero","given":"Kelly N.","non-dropping-particle":"","parse-names":false,"suffix":""},{"dropping-particle":"","family":"Williams","given":"Jessica L.","non-dropping-particle":"","parse-names":false,"suffix":""},{"dropping-particle":"","family":"Temkit","given":"M’hamed","non-dropping-particle":"","parse-names":false,"suffix":""},{"dropping-particle":"","family":"Beals","given":"Stephen P.","non-dropping-particle":"","parse-names":false,"suffix":""},{"dropping-particle":"","family":"Singh","given":"Davinder J.","non-dropping-particle":"","parse-names":false,"suffix":""},{"dropping-particle":"","family":"Sitzman","given":"Thomas J.","non-dropping-particle":"","parse-names":false,"suffix":""}],"container-title":"Cleft Palate-Craniofacial Journal","id":"ITEM-1","issue":"7","issued":{"date-parts":[["2020","7","1"]]},"page":"860-871","publisher":"SAGE Publications Ltd","title":"The Effectiveness of Palate Re-Repair for Treating Velopharyngeal Insufficiency: A Systematic Review and Meta-Analysis","type":"article-journal","volume":"57"},"uris":["http://www.mendeley.com/documents/?uuid=47291599-8421-3338-8926-db2aa95a7156"]}],"mendeley":{"formattedCitation":"&lt;sup&gt;2&lt;/sup&gt;","plainTextFormattedCitation":"2","previouslyFormattedCitation":"&lt;sup&gt;2&lt;/sup&gt;"},"properties":{"noteIndex":0},"schema":"https://github.com/citation-style-language/schema/raw/master/csl-citation.json"}</w:instrText>
      </w:r>
      <w:r w:rsidR="00B55D7D">
        <w:rPr>
          <w:lang w:val="en-GB"/>
        </w:rPr>
        <w:fldChar w:fldCharType="separate"/>
      </w:r>
      <w:r w:rsidR="00B55D7D" w:rsidRPr="00B55D7D">
        <w:rPr>
          <w:noProof/>
          <w:vertAlign w:val="superscript"/>
          <w:lang w:val="en-GB"/>
        </w:rPr>
        <w:t>2</w:t>
      </w:r>
      <w:r w:rsidR="00B55D7D">
        <w:rPr>
          <w:lang w:val="en-GB"/>
        </w:rPr>
        <w:fldChar w:fldCharType="end"/>
      </w:r>
      <w:r w:rsidR="00EF7B04">
        <w:rPr>
          <w:lang w:val="en-GB"/>
        </w:rPr>
        <w:t xml:space="preserve"> </w:t>
      </w:r>
      <w:r w:rsidR="00AA4B5F">
        <w:rPr>
          <w:lang w:val="en-GB"/>
        </w:rPr>
        <w:t>Cleft palate re-repair</w:t>
      </w:r>
      <w:r w:rsidR="00DC4625">
        <w:rPr>
          <w:lang w:val="en-GB"/>
        </w:rPr>
        <w:t xml:space="preserve"> (CPR-R)</w:t>
      </w:r>
      <w:r w:rsidR="00AA4B5F">
        <w:rPr>
          <w:lang w:val="en-GB"/>
        </w:rPr>
        <w:t xml:space="preserve"> is an effective treatment for VPI in patients who have previously undergone a cleft palate repair. </w:t>
      </w:r>
      <w:r w:rsidR="00EF7B04">
        <w:rPr>
          <w:lang w:val="en-GB"/>
        </w:rPr>
        <w:t>As with primary surgery</w:t>
      </w:r>
      <w:r w:rsidR="00AA4B5F">
        <w:rPr>
          <w:lang w:val="en-GB"/>
        </w:rPr>
        <w:t xml:space="preserve">, the purpose of the palate re-repair is to improve velar </w:t>
      </w:r>
      <w:proofErr w:type="gramStart"/>
      <w:r w:rsidR="00AA4B5F">
        <w:rPr>
          <w:lang w:val="en-GB"/>
        </w:rPr>
        <w:t>function;</w:t>
      </w:r>
      <w:proofErr w:type="gramEnd"/>
      <w:r w:rsidR="00AA4B5F">
        <w:rPr>
          <w:lang w:val="en-GB"/>
        </w:rPr>
        <w:t xml:space="preserve"> which in turn improves speech outcomes including hypernasality, audible nasal emission, nasal turbulence and intelligibility.</w:t>
      </w:r>
      <w:r w:rsidR="00E72D47">
        <w:rPr>
          <w:lang w:val="en-GB"/>
        </w:rPr>
        <w:t xml:space="preserve"> </w:t>
      </w:r>
    </w:p>
    <w:p w14:paraId="5099C415" w14:textId="360449B9" w:rsidR="00B55D7D" w:rsidRDefault="00B55D7D" w:rsidP="00DC4625">
      <w:pPr>
        <w:pStyle w:val="xmsonormal"/>
        <w:jc w:val="both"/>
        <w:rPr>
          <w:lang w:val="en-GB"/>
        </w:rPr>
      </w:pPr>
    </w:p>
    <w:p w14:paraId="5D8D0DDB" w14:textId="2CCADC50" w:rsidR="00B55D7D" w:rsidRDefault="00B55D7D" w:rsidP="00060656">
      <w:pPr>
        <w:pStyle w:val="xmsonormal"/>
        <w:jc w:val="both"/>
        <w:rPr>
          <w:lang w:val="en-GB"/>
        </w:rPr>
      </w:pPr>
      <w:r>
        <w:rPr>
          <w:lang w:val="en-GB"/>
        </w:rPr>
        <w:t xml:space="preserve">Many surgical techniques have been described for CPR-R, including pharyngeal flaps, pharyngoplasties, Furlow palatoplasty and </w:t>
      </w:r>
      <w:proofErr w:type="spellStart"/>
      <w:r>
        <w:rPr>
          <w:lang w:val="en-GB"/>
        </w:rPr>
        <w:t>intravelar</w:t>
      </w:r>
      <w:proofErr w:type="spellEnd"/>
      <w:r>
        <w:rPr>
          <w:lang w:val="en-GB"/>
        </w:rPr>
        <w:t xml:space="preserve"> veloplasty.</w:t>
      </w:r>
      <w:r>
        <w:rPr>
          <w:lang w:val="en-GB"/>
        </w:rPr>
        <w:fldChar w:fldCharType="begin" w:fldLock="1"/>
      </w:r>
      <w:r>
        <w:rPr>
          <w:lang w:val="en-GB"/>
        </w:rPr>
        <w:instrText>ADDIN CSL_CITATION {"citationItems":[{"id":"ITEM-1","itemData":{"DOI":"10.1177/1055665620902883","ISSN":"15451569","PMID":"32070129","abstract":"Background: Palate re-repair has been proposed as an effective treatment for velopharyngeal insufficiency (VPI) with a low risk of obstructive sleep apnea (OSA). The authors conducted a systematic review and meta-analysis to determine the proportion of patients achieving normal speech resonance following palate re-repair for VPI, the proportion developing OSA, and the criteria for patient selection that are associated with increased effectiveness. Methods: PubMed, Embase, and Scopus were searched from inception through April 2018 for English language articles evaluating palate re-repair for the treatment of VPI in patients with a repaired cleft palate. Inclusion criteria included reporting of hypernasality, nasal air emission, nasometry, additional VPI surgery, and/or OSA outcomes. Meta-analysis was conducted using random effects models. Risk of bias was assessed regarding criteria for patient selection, blinding of outcome assessors, and validity of speech assessment scale. Results: Eighteen studies met inclusion criteria. The incidence of achieving no consistent hypernasality follow palate re-repair was 61% (95% confidence interval [CI]: 44%-75%). The incidence of additional surgery for persistent VPI symptoms was 21% (95% CI: 12%-33%). The incidence of OSA was 28% (95% CI: 13%-49%). Criteria for selecting patients to undergo re-repair varied, with anterior/sagittal position of palatal muscles (33%) and small velopharyngeal gap (22%) being the most common. No specific patient selection criteria led to superior speech outcomes (P =.6572). Conclusions: Palate re-repair achieves normal speech resonance in many but not all patients with VPI. Further research is needed to identify the specific examination and imaging findings that predict successful correction of VPI with re-repair.","author":[{"dropping-particle":"","family":"Kurnik","given":"Nicole M.","non-dropping-particle":"","parse-names":false,"suffix":""},{"dropping-particle":"","family":"Weidler","given":"Erica M.","non-dropping-particle":"","parse-names":false,"suffix":""},{"dropping-particle":"","family":"Lien","given":"Kari M.","non-dropping-particle":"","parse-names":false,"suffix":""},{"dropping-particle":"","family":"Cordero","given":"Kelly N.","non-dropping-particle":"","parse-names":false,"suffix":""},{"dropping-particle":"","family":"Williams","given":"Jessica L.","non-dropping-particle":"","parse-names":false,"suffix":""},{"dropping-particle":"","family":"Temkit","given":"M’hamed","non-dropping-particle":"","parse-names":false,"suffix":""},{"dropping-particle":"","family":"Beals","given":"Stephen P.","non-dropping-particle":"","parse-names":false,"suffix":""},{"dropping-particle":"","family":"Singh","given":"Davinder J.","non-dropping-particle":"","parse-names":false,"suffix":""},{"dropping-particle":"","family":"Sitzman","given":"Thomas J.","non-dropping-particle":"","parse-names":false,"suffix":""}],"container-title":"Cleft Palate-Craniofacial Journal","id":"ITEM-1","issue":"7","issued":{"date-parts":[["2020","7","1"]]},"page":"860-871","publisher":"SAGE Publications Ltd","title":"The Effectiveness of Palate Re-Repair for Treating Velopharyngeal Insufficiency: A Systematic Review and Meta-Analysis","type":"article-journal","volume":"57"},"uris":["http://www.mendeley.com/documents/?uuid=47291599-8421-3338-8926-db2aa95a7156"]}],"mendeley":{"formattedCitation":"&lt;sup&gt;2&lt;/sup&gt;","plainTextFormattedCitation":"2","previouslyFormattedCitation":"&lt;sup&gt;2&lt;/sup&gt;"},"properties":{"noteIndex":0},"schema":"https://github.com/citation-style-language/schema/raw/master/csl-citation.json"}</w:instrText>
      </w:r>
      <w:r>
        <w:rPr>
          <w:lang w:val="en-GB"/>
        </w:rPr>
        <w:fldChar w:fldCharType="separate"/>
      </w:r>
      <w:r w:rsidRPr="00B55D7D">
        <w:rPr>
          <w:noProof/>
          <w:vertAlign w:val="superscript"/>
          <w:lang w:val="en-GB"/>
        </w:rPr>
        <w:t>2</w:t>
      </w:r>
      <w:r>
        <w:rPr>
          <w:lang w:val="en-GB"/>
        </w:rPr>
        <w:fldChar w:fldCharType="end"/>
      </w:r>
      <w:r>
        <w:rPr>
          <w:lang w:val="en-GB"/>
        </w:rPr>
        <w:t xml:space="preserve"> The </w:t>
      </w:r>
      <w:proofErr w:type="spellStart"/>
      <w:r>
        <w:rPr>
          <w:lang w:val="en-GB"/>
        </w:rPr>
        <w:t>intravelar</w:t>
      </w:r>
      <w:proofErr w:type="spellEnd"/>
      <w:r>
        <w:rPr>
          <w:lang w:val="en-GB"/>
        </w:rPr>
        <w:t xml:space="preserve"> </w:t>
      </w:r>
      <w:proofErr w:type="spellStart"/>
      <w:r>
        <w:rPr>
          <w:lang w:val="en-GB"/>
        </w:rPr>
        <w:t>veloplasty</w:t>
      </w:r>
      <w:proofErr w:type="spellEnd"/>
      <w:r>
        <w:rPr>
          <w:lang w:val="en-GB"/>
        </w:rPr>
        <w:t xml:space="preserve"> CPR-R technique has gained popularity in more recent years due to high reported success rates, and a lower risk of postoperative complications such as obstructive sleep apnoea when compared with other techniques.</w:t>
      </w:r>
      <w:r>
        <w:rPr>
          <w:lang w:val="en-GB"/>
        </w:rPr>
        <w:fldChar w:fldCharType="begin" w:fldLock="1"/>
      </w:r>
      <w:r w:rsidR="00276744">
        <w:rPr>
          <w:lang w:val="en-GB"/>
        </w:rPr>
        <w:instrText>ADDIN CSL_CITATION {"citationItems":[{"id":"ITEM-1","itemData":{"DOI":"10.1177/1055665620902883","ISSN":"15451569","PMID":"32070129","abstract":"Background: Palate re-repair has been proposed as an effective treatment for velopharyngeal insufficiency (VPI) with a low risk of obstructive sleep apnea (OSA). The authors conducted a systematic review and meta-analysis to determine the proportion of patients achieving normal speech resonance following palate re-repair for VPI, the proportion developing OSA, and the criteria for patient selection that are associated with increased effectiveness. Methods: PubMed, Embase, and Scopus were searched from inception through April 2018 for English language articles evaluating palate re-repair for the treatment of VPI in patients with a repaired cleft palate. Inclusion criteria included reporting of hypernasality, nasal air emission, nasometry, additional VPI surgery, and/or OSA outcomes. Meta-analysis was conducted using random effects models. Risk of bias was assessed regarding criteria for patient selection, blinding of outcome assessors, and validity of speech assessment scale. Results: Eighteen studies met inclusion criteria. The incidence of achieving no consistent hypernasality follow palate re-repair was 61% (95% confidence interval [CI]: 44%-75%). The incidence of additional surgery for persistent VPI symptoms was 21% (95% CI: 12%-33%). The incidence of OSA was 28% (95% CI: 13%-49%). Criteria for selecting patients to undergo re-repair varied, with anterior/sagittal position of palatal muscles (33%) and small velopharyngeal gap (22%) being the most common. No specific patient selection criteria led to superior speech outcomes (P =.6572). Conclusions: Palate re-repair achieves normal speech resonance in many but not all patients with VPI. Further research is needed to identify the specific examination and imaging findings that predict successful correction of VPI with re-repair.","author":[{"dropping-particle":"","family":"Kurnik","given":"Nicole M.","non-dropping-particle":"","parse-names":false,"suffix":""},{"dropping-particle":"","family":"Weidler","given":"Erica M.","non-dropping-particle":"","parse-names":false,"suffix":""},{"dropping-particle":"","family":"Lien","given":"Kari M.","non-dropping-particle":"","parse-names":false,"suffix":""},{"dropping-particle":"","family":"Cordero","given":"Kelly N.","non-dropping-particle":"","parse-names":false,"suffix":""},{"dropping-particle":"","family":"Williams","given":"Jessica L.","non-dropping-particle":"","parse-names":false,"suffix":""},{"dropping-particle":"","family":"Temkit","given":"M’hamed","non-dropping-particle":"","parse-names":false,"suffix":""},{"dropping-particle":"","family":"Beals","given":"Stephen P.","non-dropping-particle":"","parse-names":false,"suffix":""},{"dropping-particle":"","family":"Singh","given":"Davinder J.","non-dropping-particle":"","parse-names":false,"suffix":""},{"dropping-particle":"","family":"Sitzman","given":"Thomas J.","non-dropping-particle":"","parse-names":false,"suffix":""}],"container-title":"Cleft Palate-Craniofacial Journal","id":"ITEM-1","issue":"7","issued":{"date-parts":[["2020","7","1"]]},"page":"860-871","publisher":"SAGE Publications Ltd","title":"The Effectiveness of Palate Re-Repair for Treating Velopharyngeal Insufficiency: A Systematic Review and Meta-Analysis","type":"article-journal","volume":"57"},"uris":["http://www.mendeley.com/documents/?uuid=47291599-8421-3338-8926-db2aa95a7156"]},{"id":"ITEM-2","itemData":{"author":[{"dropping-particle":"","family":"Sommerlad","given":"B C","non-dropping-particle":"","parse-names":false,"suffix":""},{"dropping-particle":"","family":"Henley","given":"M","non-dropping-particle":"","parse-names":false,"suffix":""},{"dropping-particle":"","family":"Birch","given":"M","non-dropping-particle":"","parse-names":false,"suffix":""},{"dropping-particle":"","family":"Harland","given":"K","non-dropping-particle":"","parse-names":false,"suffix":""},{"dropping-particle":"","family":"Moiemen","given":"N","non-dropping-particle":"","parse-names":false,"suffix":""},{"dropping-particle":"","family":"Boorman","given":"J G","non-dropping-particle":"","parse-names":false,"suffix":""}],"id":"ITEM-2","issued":{"date-parts":[["0"]]},"title":"Cleft palate re-repair-a clinical and radiographic study of 32 consecutive cases","type":"article-journal"},"uris":["http://www.mendeley.com/documents/?uuid=a6cdcece-f6ff-34f0-b22a-a1beecacf8fe"]},{"id":"ITEM-3","itemData":{"DOI":"10.1597/1545-1569_2002_039_0295_PRRR_2.0.CO_2","ISSN":"1055-6656","abstract":"OBJECTIVE: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Journal","id":"ITEM-3","issue":"3","issued":{"date-parts":[["2002","5"]]},"page":"295-307","publisher":"SAGE Publications","title":"Palate Re-Repair Revisited","type":"article-journal","volume":"39"},"uris":["http://www.mendeley.com/documents/?uuid=f5614a92-f4b2-3284-bded-3c97decb1ac5"]}],"mendeley":{"formattedCitation":"&lt;sup&gt;2–4&lt;/sup&gt;","plainTextFormattedCitation":"2–4","previouslyFormattedCitation":"&lt;sup&gt;2–4&lt;/sup&gt;"},"properties":{"noteIndex":0},"schema":"https://github.com/citation-style-language/schema/raw/master/csl-citation.json"}</w:instrText>
      </w:r>
      <w:r>
        <w:rPr>
          <w:lang w:val="en-GB"/>
        </w:rPr>
        <w:fldChar w:fldCharType="separate"/>
      </w:r>
      <w:r w:rsidR="00060656" w:rsidRPr="00060656">
        <w:rPr>
          <w:noProof/>
          <w:vertAlign w:val="superscript"/>
          <w:lang w:val="en-GB"/>
        </w:rPr>
        <w:t>2–4</w:t>
      </w:r>
      <w:r>
        <w:rPr>
          <w:lang w:val="en-GB"/>
        </w:rPr>
        <w:fldChar w:fldCharType="end"/>
      </w:r>
      <w:r>
        <w:rPr>
          <w:lang w:val="en-GB"/>
        </w:rPr>
        <w:t xml:space="preserve"> </w:t>
      </w:r>
    </w:p>
    <w:p w14:paraId="2940FDEE" w14:textId="16289825" w:rsidR="00050CBB" w:rsidRDefault="00050CBB" w:rsidP="00060656">
      <w:pPr>
        <w:pStyle w:val="xmsonormal"/>
        <w:jc w:val="both"/>
        <w:rPr>
          <w:lang w:val="en-GB"/>
        </w:rPr>
      </w:pPr>
    </w:p>
    <w:p w14:paraId="6B1BD918" w14:textId="7216B447" w:rsidR="00DC4625" w:rsidRPr="00060656" w:rsidRDefault="00060656" w:rsidP="00DC4625">
      <w:pPr>
        <w:pStyle w:val="xmsonormal"/>
        <w:jc w:val="both"/>
      </w:pPr>
      <w:r>
        <w:rPr>
          <w:lang w:val="en-GB"/>
        </w:rPr>
        <w:t xml:space="preserve">The aim of this service evaluation was to determine the success rates of CPR-R surgery performed at a specialist UK cleft centre. The objectives of the service evaluation were to assess success rates in terms of need for re-operation and speech outcomes, as well as to identify any patient groups who may be more likely to require CPR-R surgery by retrospectively reviewing patient records.  </w:t>
      </w:r>
    </w:p>
    <w:p w14:paraId="73A9BB91" w14:textId="46E34C53" w:rsidR="00EF7B04" w:rsidRDefault="00EF7B04" w:rsidP="00AA4B5F">
      <w:pPr>
        <w:pStyle w:val="xmsonormal"/>
        <w:rPr>
          <w:lang w:val="en-GB"/>
        </w:rPr>
      </w:pPr>
    </w:p>
    <w:p w14:paraId="18F3E864" w14:textId="69DCFD86" w:rsidR="00DC4625" w:rsidRDefault="00DC4625" w:rsidP="00DC4625">
      <w:pPr>
        <w:pStyle w:val="Heading1"/>
        <w:rPr>
          <w:lang w:val="en-GB"/>
        </w:rPr>
      </w:pPr>
      <w:bookmarkStart w:id="6" w:name="_Toc129708550"/>
      <w:r>
        <w:rPr>
          <w:lang w:val="en-GB"/>
        </w:rPr>
        <w:t>Method</w:t>
      </w:r>
      <w:bookmarkEnd w:id="6"/>
    </w:p>
    <w:p w14:paraId="13A534C2" w14:textId="1249618E" w:rsidR="009A4EA5" w:rsidRDefault="001328F8" w:rsidP="008C11FD">
      <w:pPr>
        <w:jc w:val="both"/>
        <w:rPr>
          <w:lang w:val="en-GB"/>
        </w:rPr>
      </w:pPr>
      <w:r>
        <w:rPr>
          <w:lang w:val="en-GB"/>
        </w:rPr>
        <w:t xml:space="preserve">This was a retrospective </w:t>
      </w:r>
      <w:r w:rsidR="009A4EA5">
        <w:rPr>
          <w:lang w:val="en-GB"/>
        </w:rPr>
        <w:t xml:space="preserve">evaluation of the cleft service at a single unit. </w:t>
      </w:r>
      <w:r w:rsidR="009A4EA5" w:rsidRPr="004D0BE6">
        <w:rPr>
          <w:lang w:val="en-GB"/>
        </w:rPr>
        <w:t xml:space="preserve">The evaluation had the approval of the unit’s clinical effectiveness unit to access patient records for evaluation, patient information and quality improvement purposes. </w:t>
      </w:r>
      <w:r w:rsidR="00DC4625" w:rsidRPr="009A4EA5">
        <w:rPr>
          <w:lang w:val="en-GB"/>
        </w:rPr>
        <w:t>All</w:t>
      </w:r>
      <w:r w:rsidR="00DC4625">
        <w:rPr>
          <w:lang w:val="en-GB"/>
        </w:rPr>
        <w:t xml:space="preserve"> patients who underwent CPR-R by a single surgeon</w:t>
      </w:r>
      <w:r w:rsidR="004D0BE6">
        <w:rPr>
          <w:lang w:val="en-GB"/>
        </w:rPr>
        <w:t xml:space="preserve"> </w:t>
      </w:r>
      <w:r w:rsidR="00DC4625">
        <w:rPr>
          <w:lang w:val="en-GB"/>
        </w:rPr>
        <w:t>over a 1</w:t>
      </w:r>
      <w:r w:rsidR="004D0BE6">
        <w:rPr>
          <w:lang w:val="en-GB"/>
        </w:rPr>
        <w:t>0-</w:t>
      </w:r>
      <w:r w:rsidR="00DC4625">
        <w:rPr>
          <w:lang w:val="en-GB"/>
        </w:rPr>
        <w:t xml:space="preserve"> year period from 1</w:t>
      </w:r>
      <w:r w:rsidR="00DC4625" w:rsidRPr="00DC4625">
        <w:rPr>
          <w:vertAlign w:val="superscript"/>
          <w:lang w:val="en-GB"/>
        </w:rPr>
        <w:t>st</w:t>
      </w:r>
      <w:r w:rsidR="00DC4625">
        <w:rPr>
          <w:lang w:val="en-GB"/>
        </w:rPr>
        <w:t xml:space="preserve"> January 2011 to 31</w:t>
      </w:r>
      <w:r w:rsidR="00DC4625" w:rsidRPr="00DC4625">
        <w:rPr>
          <w:vertAlign w:val="superscript"/>
          <w:lang w:val="en-GB"/>
        </w:rPr>
        <w:t>st</w:t>
      </w:r>
      <w:r w:rsidR="00DC4625">
        <w:rPr>
          <w:lang w:val="en-GB"/>
        </w:rPr>
        <w:t xml:space="preserve"> December 2021 were identified. </w:t>
      </w:r>
      <w:r w:rsidR="009A4EA5">
        <w:rPr>
          <w:lang w:val="en-GB"/>
        </w:rPr>
        <w:t xml:space="preserve">All patients underwent the same CPR-R technique, </w:t>
      </w:r>
      <w:proofErr w:type="spellStart"/>
      <w:r w:rsidR="009A4EA5">
        <w:rPr>
          <w:lang w:val="en-GB"/>
        </w:rPr>
        <w:t>intravelar</w:t>
      </w:r>
      <w:proofErr w:type="spellEnd"/>
      <w:r w:rsidR="009A4EA5">
        <w:rPr>
          <w:lang w:val="en-GB"/>
        </w:rPr>
        <w:t xml:space="preserve"> </w:t>
      </w:r>
      <w:proofErr w:type="spellStart"/>
      <w:r w:rsidR="009A4EA5">
        <w:rPr>
          <w:lang w:val="en-GB"/>
        </w:rPr>
        <w:t>veloplasty</w:t>
      </w:r>
      <w:proofErr w:type="spellEnd"/>
      <w:r w:rsidR="009A4EA5">
        <w:rPr>
          <w:lang w:val="en-GB"/>
        </w:rPr>
        <w:t xml:space="preserve">, as outlined by the </w:t>
      </w:r>
      <w:proofErr w:type="spellStart"/>
      <w:r w:rsidR="009A4EA5">
        <w:rPr>
          <w:lang w:val="en-GB"/>
        </w:rPr>
        <w:t>Sommerlad</w:t>
      </w:r>
      <w:proofErr w:type="spellEnd"/>
      <w:r w:rsidR="009A4EA5">
        <w:rPr>
          <w:lang w:val="en-GB"/>
        </w:rPr>
        <w:t xml:space="preserve"> technique (1994).</w:t>
      </w:r>
      <w:r w:rsidR="009A4EA5">
        <w:rPr>
          <w:lang w:val="en-GB"/>
        </w:rPr>
        <w:fldChar w:fldCharType="begin" w:fldLock="1"/>
      </w:r>
      <w:r w:rsidR="00B55D7D">
        <w:rPr>
          <w:lang w:val="en-GB"/>
        </w:rPr>
        <w:instrText>ADDIN CSL_CITATION {"citationItems":[{"id":"ITEM-1","itemData":{"author":[{"dropping-particle":"","family":"Sommerlad","given":"B C","non-dropping-particle":"","parse-names":false,"suffix":""},{"dropping-particle":"","family":"Henley","given":"M","non-dropping-particle":"","parse-names":false,"suffix":""},{"dropping-particle":"","family":"Birch","given":"M","non-dropping-particle":"","parse-names":false,"suffix":""},{"dropping-particle":"","family":"Harland","given":"K","non-dropping-particle":"","parse-names":false,"suffix":""},{"dropping-particle":"","family":"Moiemen","given":"N","non-dropping-particle":"","parse-names":false,"suffix":""},{"dropping-particle":"","family":"Boorman","given":"J G","non-dropping-particle":"","parse-names":false,"suffix":""}],"id":"ITEM-1","issued":{"date-parts":[["0"]]},"title":"Cleft palate re-repair-a clinical and radiographic study of 32 consecutive cases","type":"article-journal"},"uris":["http://www.mendeley.com/documents/?uuid=a6cdcece-f6ff-34f0-b22a-a1beecacf8fe"]}],"mendeley":{"formattedCitation":"&lt;sup&gt;3&lt;/sup&gt;","plainTextFormattedCitation":"3","previouslyFormattedCitation":"&lt;sup&gt;3&lt;/sup&gt;"},"properties":{"noteIndex":0},"schema":"https://github.com/citation-style-language/schema/raw/master/csl-citation.json"}</w:instrText>
      </w:r>
      <w:r w:rsidR="009A4EA5">
        <w:rPr>
          <w:lang w:val="en-GB"/>
        </w:rPr>
        <w:fldChar w:fldCharType="separate"/>
      </w:r>
      <w:r w:rsidR="00B55D7D" w:rsidRPr="00B55D7D">
        <w:rPr>
          <w:noProof/>
          <w:vertAlign w:val="superscript"/>
          <w:lang w:val="en-GB"/>
        </w:rPr>
        <w:t>3</w:t>
      </w:r>
      <w:r w:rsidR="009A4EA5">
        <w:rPr>
          <w:lang w:val="en-GB"/>
        </w:rPr>
        <w:fldChar w:fldCharType="end"/>
      </w:r>
      <w:r w:rsidR="009A4EA5">
        <w:rPr>
          <w:lang w:val="en-GB"/>
        </w:rPr>
        <w:t xml:space="preserve"> </w:t>
      </w:r>
    </w:p>
    <w:p w14:paraId="78349D9C" w14:textId="7AC8FB0C" w:rsidR="00050CBB" w:rsidRPr="00B55D7D" w:rsidRDefault="00DC4625" w:rsidP="009A4EA5">
      <w:pPr>
        <w:jc w:val="both"/>
      </w:pPr>
      <w:r>
        <w:rPr>
          <w:lang w:val="en-GB"/>
        </w:rPr>
        <w:t>Clinical data was collected and analysed</w:t>
      </w:r>
      <w:r w:rsidR="009A4EA5">
        <w:rPr>
          <w:lang w:val="en-GB"/>
        </w:rPr>
        <w:t xml:space="preserve">, </w:t>
      </w:r>
      <w:proofErr w:type="gramStart"/>
      <w:r w:rsidR="009A4EA5">
        <w:rPr>
          <w:lang w:val="en-GB"/>
        </w:rPr>
        <w:t>including;</w:t>
      </w:r>
      <w:proofErr w:type="gramEnd"/>
      <w:r w:rsidR="009A4EA5">
        <w:rPr>
          <w:lang w:val="en-GB"/>
        </w:rPr>
        <w:t xml:space="preserve"> d</w:t>
      </w:r>
      <w:r w:rsidR="008C11FD">
        <w:rPr>
          <w:lang w:val="en-GB"/>
        </w:rPr>
        <w:t>emographics</w:t>
      </w:r>
      <w:r w:rsidR="009A4EA5">
        <w:rPr>
          <w:lang w:val="en-GB"/>
        </w:rPr>
        <w:t>, c</w:t>
      </w:r>
      <w:r w:rsidR="00202FC5">
        <w:rPr>
          <w:lang w:val="en-GB"/>
        </w:rPr>
        <w:t>left type</w:t>
      </w:r>
      <w:r w:rsidR="009A4EA5">
        <w:rPr>
          <w:lang w:val="en-GB"/>
        </w:rPr>
        <w:t>, s</w:t>
      </w:r>
      <w:r w:rsidR="00202FC5" w:rsidRPr="009A4EA5">
        <w:rPr>
          <w:lang w:val="en-GB"/>
        </w:rPr>
        <w:t>peech outcomes,</w:t>
      </w:r>
      <w:r w:rsidR="009A4EA5">
        <w:rPr>
          <w:lang w:val="en-GB"/>
        </w:rPr>
        <w:t xml:space="preserve"> p</w:t>
      </w:r>
      <w:r w:rsidR="00202FC5" w:rsidRPr="009A4EA5">
        <w:rPr>
          <w:lang w:val="en-GB"/>
        </w:rPr>
        <w:t>resence or absence of a palatal fistula</w:t>
      </w:r>
      <w:r w:rsidR="009A4EA5">
        <w:rPr>
          <w:lang w:val="en-GB"/>
        </w:rPr>
        <w:t>, whether the patient had a diagnosed s</w:t>
      </w:r>
      <w:r w:rsidR="0063026B">
        <w:rPr>
          <w:lang w:val="en-GB"/>
        </w:rPr>
        <w:t>yndrom</w:t>
      </w:r>
      <w:r w:rsidR="009A4EA5">
        <w:rPr>
          <w:lang w:val="en-GB"/>
        </w:rPr>
        <w:t>e, and the need for further speech surgery, where applicable. O</w:t>
      </w:r>
      <w:r w:rsidR="00050CBB">
        <w:rPr>
          <w:lang w:val="en-GB"/>
        </w:rPr>
        <w:t>utcomes of further surgery</w:t>
      </w:r>
      <w:r w:rsidR="009A4EA5">
        <w:rPr>
          <w:lang w:val="en-GB"/>
        </w:rPr>
        <w:t>, when carried out, were also evaluated.</w:t>
      </w:r>
    </w:p>
    <w:p w14:paraId="13FDAC44" w14:textId="77777777" w:rsidR="009A4EA5" w:rsidRDefault="009A4EA5" w:rsidP="000009EC">
      <w:pPr>
        <w:pStyle w:val="xmsonormal"/>
        <w:jc w:val="both"/>
        <w:rPr>
          <w:lang w:val="en-GB"/>
        </w:rPr>
      </w:pPr>
      <w:r>
        <w:rPr>
          <w:lang w:val="en-GB"/>
        </w:rPr>
        <w:t>Speech outcomes were measured using the Great Ormond Street Speech Assessment (GOS.SP.ASS) tool. Within the patient records, G</w:t>
      </w:r>
      <w:r w:rsidR="00571C79">
        <w:rPr>
          <w:lang w:val="en-GB"/>
        </w:rPr>
        <w:t xml:space="preserve">OS.SP.ASS scores </w:t>
      </w:r>
      <w:r>
        <w:rPr>
          <w:lang w:val="en-GB"/>
        </w:rPr>
        <w:t xml:space="preserve">have been recorded over the </w:t>
      </w:r>
      <w:proofErr w:type="gramStart"/>
      <w:r>
        <w:rPr>
          <w:lang w:val="en-GB"/>
        </w:rPr>
        <w:t>time period</w:t>
      </w:r>
      <w:proofErr w:type="gramEnd"/>
      <w:r>
        <w:rPr>
          <w:lang w:val="en-GB"/>
        </w:rPr>
        <w:t xml:space="preserve"> evaluated </w:t>
      </w:r>
      <w:r w:rsidR="00571C79">
        <w:rPr>
          <w:lang w:val="en-GB"/>
        </w:rPr>
        <w:t xml:space="preserve">pre-CPR-R, post-CPR-R and following further speech surgery if required. </w:t>
      </w:r>
      <w:r w:rsidR="00526281">
        <w:rPr>
          <w:lang w:val="en-GB"/>
        </w:rPr>
        <w:t xml:space="preserve">The GOS.SP.ASS scores were </w:t>
      </w:r>
      <w:r>
        <w:rPr>
          <w:lang w:val="en-GB"/>
        </w:rPr>
        <w:t>evaluated</w:t>
      </w:r>
      <w:r w:rsidR="00526281">
        <w:rPr>
          <w:lang w:val="en-GB"/>
        </w:rPr>
        <w:t xml:space="preserve"> by specialist speech and language therapists, who graded each parameter </w:t>
      </w:r>
      <w:r w:rsidR="008E382F">
        <w:rPr>
          <w:lang w:val="en-GB"/>
        </w:rPr>
        <w:t>by severity. The s</w:t>
      </w:r>
      <w:r w:rsidR="000009EC">
        <w:rPr>
          <w:lang w:val="en-GB"/>
        </w:rPr>
        <w:t xml:space="preserve">everity scores for hypernasality, </w:t>
      </w:r>
      <w:proofErr w:type="spellStart"/>
      <w:r w:rsidR="000009EC">
        <w:rPr>
          <w:lang w:val="en-GB"/>
        </w:rPr>
        <w:t>hyponasality</w:t>
      </w:r>
      <w:proofErr w:type="spellEnd"/>
      <w:r w:rsidR="000009EC">
        <w:rPr>
          <w:lang w:val="en-GB"/>
        </w:rPr>
        <w:t>, nasal emission and nasal turbulence were recorded</w:t>
      </w:r>
      <w:r w:rsidR="008E382F">
        <w:rPr>
          <w:lang w:val="en-GB"/>
        </w:rPr>
        <w:t xml:space="preserve"> for each patient</w:t>
      </w:r>
      <w:r w:rsidR="000009EC">
        <w:rPr>
          <w:lang w:val="en-GB"/>
        </w:rPr>
        <w:t xml:space="preserve">. These parameters were further analysed for comparative improvement. </w:t>
      </w:r>
    </w:p>
    <w:p w14:paraId="56AC9D88" w14:textId="75B3F652" w:rsidR="000009EC" w:rsidRDefault="008E382F" w:rsidP="000009EC">
      <w:pPr>
        <w:pStyle w:val="xmsonormal"/>
        <w:jc w:val="both"/>
      </w:pPr>
      <w:r>
        <w:rPr>
          <w:lang w:val="en-GB"/>
        </w:rPr>
        <w:t xml:space="preserve">GOS.SP.ASS scores within some parameters were not available for all patients, but the recorded data available in these cases was still included for analysis. </w:t>
      </w:r>
      <w:r w:rsidR="000009EC">
        <w:rPr>
          <w:lang w:val="en-GB"/>
        </w:rPr>
        <w:t>Cases that required further re-operation for ongoing VPI were examined in further detail, including the nature of any additional velopharyngeal surgery and subsequent speech outcome.</w:t>
      </w:r>
    </w:p>
    <w:p w14:paraId="09693B95" w14:textId="49919B19" w:rsidR="00202FC5" w:rsidRDefault="00202FC5" w:rsidP="00AA4B5F">
      <w:pPr>
        <w:pStyle w:val="xmsonormal"/>
        <w:rPr>
          <w:lang w:val="en-GB"/>
        </w:rPr>
      </w:pPr>
    </w:p>
    <w:p w14:paraId="63FFA76B" w14:textId="770C2DD6" w:rsidR="006C22A8" w:rsidRPr="0001425C" w:rsidRDefault="009A4EA5" w:rsidP="000F5E23">
      <w:pPr>
        <w:pStyle w:val="xmsonormal"/>
        <w:jc w:val="both"/>
        <w:rPr>
          <w:lang w:val="en-GB"/>
        </w:rPr>
      </w:pPr>
      <w:r>
        <w:rPr>
          <w:lang w:val="en-GB"/>
        </w:rPr>
        <w:t>Results were analysed using Microsoft Excel and SPSS statistics. O</w:t>
      </w:r>
      <w:r w:rsidR="000009EC">
        <w:rPr>
          <w:lang w:val="en-GB"/>
        </w:rPr>
        <w:t>ur results were then compared to those of the literature, which informed ideal outcomes in terms of need for further surgery and speech.</w:t>
      </w:r>
      <w:r w:rsidR="000F5E23">
        <w:rPr>
          <w:lang w:val="en-GB"/>
        </w:rPr>
        <w:t xml:space="preserve"> </w:t>
      </w:r>
      <w:r w:rsidR="004466EF">
        <w:rPr>
          <w:lang w:val="en-GB"/>
        </w:rPr>
        <w:t>Where paired data was available, c</w:t>
      </w:r>
      <w:r w:rsidR="0001425C">
        <w:rPr>
          <w:lang w:val="en-GB"/>
        </w:rPr>
        <w:t>hanges in GOS.SP.ASS scores were analyse</w:t>
      </w:r>
      <w:r w:rsidR="00E121E7">
        <w:rPr>
          <w:lang w:val="en-GB"/>
        </w:rPr>
        <w:t>d</w:t>
      </w:r>
      <w:r w:rsidR="0001425C">
        <w:rPr>
          <w:lang w:val="en-GB"/>
        </w:rPr>
        <w:t xml:space="preserve"> using the Wilcoxon signed-rank test (two tailed) at a significance level of 0.05. </w:t>
      </w:r>
    </w:p>
    <w:p w14:paraId="1B2E5A29" w14:textId="05C09AF9" w:rsidR="006C22A8" w:rsidRDefault="006C22A8" w:rsidP="006C22A8">
      <w:pPr>
        <w:pStyle w:val="Heading1"/>
        <w:rPr>
          <w:lang w:eastAsia="en-IE"/>
        </w:rPr>
      </w:pPr>
      <w:bookmarkStart w:id="7" w:name="_Toc129708551"/>
      <w:r>
        <w:rPr>
          <w:lang w:eastAsia="en-IE"/>
        </w:rPr>
        <w:lastRenderedPageBreak/>
        <w:t>Results</w:t>
      </w:r>
      <w:bookmarkEnd w:id="7"/>
    </w:p>
    <w:p w14:paraId="462BC83B" w14:textId="6ED2ED47" w:rsidR="006C22A8" w:rsidRDefault="006C22A8" w:rsidP="008C11FD">
      <w:pPr>
        <w:jc w:val="both"/>
        <w:rPr>
          <w:lang w:eastAsia="en-IE"/>
        </w:rPr>
      </w:pPr>
      <w:r>
        <w:rPr>
          <w:lang w:eastAsia="en-IE"/>
        </w:rPr>
        <w:t xml:space="preserve">Over the </w:t>
      </w:r>
      <w:proofErr w:type="gramStart"/>
      <w:r>
        <w:rPr>
          <w:lang w:eastAsia="en-IE"/>
        </w:rPr>
        <w:t>10 year</w:t>
      </w:r>
      <w:proofErr w:type="gramEnd"/>
      <w:r>
        <w:rPr>
          <w:lang w:eastAsia="en-IE"/>
        </w:rPr>
        <w:t xml:space="preserve"> period included in the evaluation, 104 children underwent CPR-R surgery. 2</w:t>
      </w:r>
      <w:r w:rsidR="00CA572B">
        <w:rPr>
          <w:lang w:eastAsia="en-IE"/>
        </w:rPr>
        <w:t xml:space="preserve"> patients</w:t>
      </w:r>
      <w:r>
        <w:rPr>
          <w:lang w:eastAsia="en-IE"/>
        </w:rPr>
        <w:t xml:space="preserve"> were excluded</w:t>
      </w:r>
      <w:r w:rsidR="00CA572B">
        <w:rPr>
          <w:lang w:eastAsia="en-IE"/>
        </w:rPr>
        <w:t xml:space="preserve"> as they had not yet attended for postoperative GOS.SP.ASS evaluation, and thus a possible need for further surgery could not be determined. </w:t>
      </w:r>
      <w:r w:rsidR="008C11FD">
        <w:rPr>
          <w:lang w:eastAsia="en-IE"/>
        </w:rPr>
        <w:t>Therefore, the records of 102 patients in total were analysed.</w:t>
      </w:r>
    </w:p>
    <w:p w14:paraId="64F751D6" w14:textId="43F4CFE8" w:rsidR="00A203A7" w:rsidRDefault="00A203A7" w:rsidP="008C11FD">
      <w:pPr>
        <w:jc w:val="both"/>
        <w:rPr>
          <w:lang w:eastAsia="en-IE"/>
        </w:rPr>
      </w:pPr>
      <w:r>
        <w:rPr>
          <w:lang w:eastAsia="en-IE"/>
        </w:rPr>
        <w:t>Patient postoperative GOS.SP.ASS scores were recorded on average between 17.4 months following surgery, with a standard deviation from the mean of 11.7 months. The minimum postoperative time to review with recorded GOS.SP.ASS score was 3 months, and the maximum was 72 months. It is worth noting that a significant proportion of patients had a delayed GOS.SP.ASS review due to the COVID-19 pa</w:t>
      </w:r>
      <w:r w:rsidR="009A4EA5">
        <w:rPr>
          <w:lang w:eastAsia="en-IE"/>
        </w:rPr>
        <w:t>n</w:t>
      </w:r>
      <w:r>
        <w:rPr>
          <w:lang w:eastAsia="en-IE"/>
        </w:rPr>
        <w:t xml:space="preserve">demic. The median time to review was 14 months.  </w:t>
      </w:r>
    </w:p>
    <w:p w14:paraId="383B3F1D" w14:textId="6D17C969" w:rsidR="008C11FD" w:rsidRDefault="008C11FD" w:rsidP="008C11FD">
      <w:pPr>
        <w:pStyle w:val="Heading2"/>
        <w:rPr>
          <w:lang w:eastAsia="en-IE"/>
        </w:rPr>
      </w:pPr>
      <w:bookmarkStart w:id="8" w:name="_Toc129708552"/>
      <w:r>
        <w:rPr>
          <w:lang w:eastAsia="en-IE"/>
        </w:rPr>
        <w:t>Demographics</w:t>
      </w:r>
      <w:bookmarkEnd w:id="8"/>
    </w:p>
    <w:p w14:paraId="0098D0F0" w14:textId="5D67BE38" w:rsidR="00126BCE" w:rsidRPr="008C11FD" w:rsidRDefault="008C11FD" w:rsidP="008C11FD">
      <w:pPr>
        <w:jc w:val="both"/>
        <w:rPr>
          <w:lang w:eastAsia="en-IE"/>
        </w:rPr>
      </w:pPr>
      <w:r>
        <w:rPr>
          <w:lang w:eastAsia="en-IE"/>
        </w:rPr>
        <w:t>The average age of patients undergoing CPR-R surgery within the cohort was 6.</w:t>
      </w:r>
      <w:r w:rsidR="000770C4">
        <w:rPr>
          <w:lang w:eastAsia="en-IE"/>
        </w:rPr>
        <w:t>6</w:t>
      </w:r>
      <w:r>
        <w:rPr>
          <w:lang w:eastAsia="en-IE"/>
        </w:rPr>
        <w:t xml:space="preserve"> years, with a</w:t>
      </w:r>
      <w:r w:rsidR="00414C7F">
        <w:rPr>
          <w:lang w:eastAsia="en-IE"/>
        </w:rPr>
        <w:t xml:space="preserve"> standard deviation from the mean of 3.6 years. The</w:t>
      </w:r>
      <w:r>
        <w:rPr>
          <w:lang w:eastAsia="en-IE"/>
        </w:rPr>
        <w:t xml:space="preserve"> minimum </w:t>
      </w:r>
      <w:r w:rsidR="00414C7F">
        <w:rPr>
          <w:lang w:eastAsia="en-IE"/>
        </w:rPr>
        <w:t xml:space="preserve">patient age was </w:t>
      </w:r>
      <w:r w:rsidR="000770C4">
        <w:rPr>
          <w:lang w:eastAsia="en-IE"/>
        </w:rPr>
        <w:t>1.8</w:t>
      </w:r>
      <w:r>
        <w:rPr>
          <w:lang w:eastAsia="en-IE"/>
        </w:rPr>
        <w:t xml:space="preserve"> years</w:t>
      </w:r>
      <w:r w:rsidR="00414C7F">
        <w:rPr>
          <w:lang w:eastAsia="en-IE"/>
        </w:rPr>
        <w:t>,</w:t>
      </w:r>
      <w:r>
        <w:rPr>
          <w:lang w:eastAsia="en-IE"/>
        </w:rPr>
        <w:t xml:space="preserve"> and </w:t>
      </w:r>
      <w:r w:rsidR="00414C7F">
        <w:rPr>
          <w:lang w:eastAsia="en-IE"/>
        </w:rPr>
        <w:t>the</w:t>
      </w:r>
      <w:r>
        <w:rPr>
          <w:lang w:eastAsia="en-IE"/>
        </w:rPr>
        <w:t xml:space="preserve"> maximum age 16.5 years. The median age of the cohort was 5.6 years.</w:t>
      </w:r>
    </w:p>
    <w:p w14:paraId="03C9B162" w14:textId="6A531B13" w:rsidR="006C22A8" w:rsidRDefault="006C22A8" w:rsidP="006C22A8">
      <w:pPr>
        <w:pStyle w:val="Heading2"/>
        <w:rPr>
          <w:lang w:eastAsia="en-IE"/>
        </w:rPr>
      </w:pPr>
      <w:bookmarkStart w:id="9" w:name="_Toc129708553"/>
      <w:r>
        <w:rPr>
          <w:lang w:eastAsia="en-IE"/>
        </w:rPr>
        <w:t>Need for further surgery</w:t>
      </w:r>
      <w:bookmarkEnd w:id="9"/>
    </w:p>
    <w:p w14:paraId="2C391B6C" w14:textId="73BBE192" w:rsidR="008C11FD" w:rsidRDefault="00981F9D" w:rsidP="00B51D29">
      <w:pPr>
        <w:jc w:val="both"/>
        <w:rPr>
          <w:lang w:eastAsia="en-IE"/>
        </w:rPr>
      </w:pPr>
      <w:r>
        <w:rPr>
          <w:noProof/>
        </w:rPr>
        <w:drawing>
          <wp:anchor distT="0" distB="0" distL="114300" distR="114300" simplePos="0" relativeHeight="251693056" behindDoc="0" locked="0" layoutInCell="1" allowOverlap="1" wp14:anchorId="796167AC" wp14:editId="43F31418">
            <wp:simplePos x="0" y="0"/>
            <wp:positionH relativeFrom="margin">
              <wp:align>center</wp:align>
            </wp:positionH>
            <wp:positionV relativeFrom="paragraph">
              <wp:posOffset>378460</wp:posOffset>
            </wp:positionV>
            <wp:extent cx="3930650" cy="2368550"/>
            <wp:effectExtent l="0" t="0" r="12700" b="12700"/>
            <wp:wrapTopAndBottom/>
            <wp:docPr id="3" name="Chart 3">
              <a:extLst xmlns:a="http://schemas.openxmlformats.org/drawingml/2006/main">
                <a:ext uri="{FF2B5EF4-FFF2-40B4-BE49-F238E27FC236}">
                  <a16:creationId xmlns:a16="http://schemas.microsoft.com/office/drawing/2014/main" id="{5FD8F6D5-007A-4042-8C17-EA6EB1E4B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8C11FD">
        <w:rPr>
          <w:lang w:eastAsia="en-IE"/>
        </w:rPr>
        <w:t xml:space="preserve">Of 102 patients included in the evaluation, </w:t>
      </w:r>
      <w:r w:rsidR="00445375">
        <w:rPr>
          <w:lang w:eastAsia="en-IE"/>
        </w:rPr>
        <w:t>18 required further speech surgery. As such, 8</w:t>
      </w:r>
      <w:r>
        <w:rPr>
          <w:lang w:eastAsia="en-IE"/>
        </w:rPr>
        <w:t>2</w:t>
      </w:r>
      <w:r w:rsidR="00445375">
        <w:rPr>
          <w:lang w:eastAsia="en-IE"/>
        </w:rPr>
        <w:t xml:space="preserve">.4% of patients who underwent CPR-R over the </w:t>
      </w:r>
      <w:proofErr w:type="gramStart"/>
      <w:r w:rsidR="00445375">
        <w:rPr>
          <w:lang w:eastAsia="en-IE"/>
        </w:rPr>
        <w:t>10 year</w:t>
      </w:r>
      <w:proofErr w:type="gramEnd"/>
      <w:r w:rsidR="00445375">
        <w:rPr>
          <w:lang w:eastAsia="en-IE"/>
        </w:rPr>
        <w:t xml:space="preserve"> period did not require any further speech surgery.</w:t>
      </w:r>
    </w:p>
    <w:p w14:paraId="4E190E50" w14:textId="3F30328A" w:rsidR="00445375" w:rsidRDefault="00C47AB5" w:rsidP="00E72D47">
      <w:pPr>
        <w:pStyle w:val="Subtitle"/>
        <w:rPr>
          <w:lang w:eastAsia="en-IE"/>
        </w:rPr>
      </w:pPr>
      <w:r>
        <w:rPr>
          <w:lang w:eastAsia="en-IE"/>
        </w:rPr>
        <w:t>Figure 1 – Percentage of patients requiring further speech surgery</w:t>
      </w:r>
    </w:p>
    <w:p w14:paraId="370FB618" w14:textId="77777777" w:rsidR="00B51D29" w:rsidRPr="00B51D29" w:rsidRDefault="00B51D29" w:rsidP="00B51D29">
      <w:pPr>
        <w:rPr>
          <w:lang w:eastAsia="en-IE"/>
        </w:rPr>
      </w:pPr>
    </w:p>
    <w:p w14:paraId="27213A64" w14:textId="3A950521" w:rsidR="00C47AB5" w:rsidRDefault="00B51D29" w:rsidP="00B51D29">
      <w:pPr>
        <w:pStyle w:val="Heading2"/>
        <w:rPr>
          <w:lang w:eastAsia="en-IE"/>
        </w:rPr>
      </w:pPr>
      <w:bookmarkStart w:id="10" w:name="_Toc129708554"/>
      <w:r>
        <w:rPr>
          <w:lang w:eastAsia="en-IE"/>
        </w:rPr>
        <w:t>Cleft Type</w:t>
      </w:r>
      <w:bookmarkEnd w:id="10"/>
    </w:p>
    <w:p w14:paraId="560040F1" w14:textId="4C4B22EE" w:rsidR="009D7291" w:rsidRPr="009D7291" w:rsidRDefault="00B51D29" w:rsidP="009D7291">
      <w:pPr>
        <w:jc w:val="both"/>
        <w:rPr>
          <w:lang w:eastAsia="en-IE"/>
        </w:rPr>
      </w:pPr>
      <w:r>
        <w:rPr>
          <w:lang w:eastAsia="en-IE"/>
        </w:rPr>
        <w:t xml:space="preserve">From the records obtained, 97 patients had a clear note of cleft type – broadly broken down into submucous cleft palate (SMCP), cleft palate (CP), unilateral cleft lip and palate (UCLP) and bilateral cleft lip and palate (BCLP). The breakdown of cleft type by percentage is demonstrated in table 1, below. </w:t>
      </w:r>
    </w:p>
    <w:p w14:paraId="46185F39" w14:textId="1F766ECD" w:rsidR="009D7291" w:rsidRDefault="00E56013" w:rsidP="007B7B37">
      <w:pPr>
        <w:jc w:val="both"/>
        <w:rPr>
          <w:lang w:eastAsia="en-IE"/>
        </w:rPr>
      </w:pPr>
      <w:r>
        <w:rPr>
          <w:lang w:eastAsia="en-IE"/>
        </w:rPr>
        <w:t xml:space="preserve">Of 18 patients who required further speech surgery, 17 had a clear record of cleft </w:t>
      </w:r>
      <w:r w:rsidR="008E2226">
        <w:rPr>
          <w:lang w:eastAsia="en-IE"/>
        </w:rPr>
        <w:t xml:space="preserve">type within their medical notes. The breakdown of cleft type by percentage is demonstrated in table 2, below. In addition, a comparison of cleft type in patients not requiring further surgery, as compared to those requiring further surgery is presented in figure 2. </w:t>
      </w:r>
    </w:p>
    <w:p w14:paraId="1D857D3A" w14:textId="77777777" w:rsidR="004466EF" w:rsidRPr="0063026B" w:rsidRDefault="004466EF" w:rsidP="007B7B37">
      <w:pPr>
        <w:jc w:val="both"/>
        <w:rPr>
          <w:lang w:eastAsia="en-IE"/>
        </w:rPr>
      </w:pPr>
    </w:p>
    <w:tbl>
      <w:tblPr>
        <w:tblStyle w:val="GridTable4-Accent2"/>
        <w:tblpPr w:leftFromText="180" w:rightFromText="180" w:vertAnchor="text" w:horzAnchor="page" w:tblpX="3048" w:tblpY="254"/>
        <w:tblW w:w="0" w:type="auto"/>
        <w:tblLook w:val="04A0" w:firstRow="1" w:lastRow="0" w:firstColumn="1" w:lastColumn="0" w:noHBand="0" w:noVBand="1"/>
      </w:tblPr>
      <w:tblGrid>
        <w:gridCol w:w="1430"/>
        <w:gridCol w:w="1430"/>
      </w:tblGrid>
      <w:tr w:rsidR="009D7291" w14:paraId="0689E85E" w14:textId="77777777" w:rsidTr="009D7291">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30" w:type="dxa"/>
          </w:tcPr>
          <w:p w14:paraId="32A4BC45" w14:textId="1E64ACED" w:rsidR="009D7291" w:rsidRDefault="009D7291" w:rsidP="009D7291">
            <w:pPr>
              <w:rPr>
                <w:lang w:eastAsia="en-IE"/>
              </w:rPr>
            </w:pPr>
            <w:r>
              <w:rPr>
                <w:lang w:eastAsia="en-IE"/>
              </w:rPr>
              <w:lastRenderedPageBreak/>
              <w:t>Cleft Type</w:t>
            </w:r>
          </w:p>
        </w:tc>
        <w:tc>
          <w:tcPr>
            <w:tcW w:w="1430" w:type="dxa"/>
          </w:tcPr>
          <w:p w14:paraId="74D766A6" w14:textId="77777777" w:rsidR="009D7291" w:rsidRDefault="009D7291" w:rsidP="009D7291">
            <w:pPr>
              <w:cnfStyle w:val="100000000000" w:firstRow="1" w:lastRow="0" w:firstColumn="0" w:lastColumn="0" w:oddVBand="0" w:evenVBand="0" w:oddHBand="0" w:evenHBand="0" w:firstRowFirstColumn="0" w:firstRowLastColumn="0" w:lastRowFirstColumn="0" w:lastRowLastColumn="0"/>
              <w:rPr>
                <w:lang w:eastAsia="en-IE"/>
              </w:rPr>
            </w:pPr>
            <w:r>
              <w:rPr>
                <w:lang w:eastAsia="en-IE"/>
              </w:rPr>
              <w:t>Percentage</w:t>
            </w:r>
          </w:p>
        </w:tc>
      </w:tr>
      <w:tr w:rsidR="009D7291" w14:paraId="462F2D67" w14:textId="77777777" w:rsidTr="009D729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430" w:type="dxa"/>
          </w:tcPr>
          <w:p w14:paraId="73A40D93" w14:textId="77777777" w:rsidR="009D7291" w:rsidRDefault="009D7291" w:rsidP="009D7291">
            <w:pPr>
              <w:rPr>
                <w:lang w:eastAsia="en-IE"/>
              </w:rPr>
            </w:pPr>
            <w:r>
              <w:rPr>
                <w:lang w:eastAsia="en-IE"/>
              </w:rPr>
              <w:t>SMCP</w:t>
            </w:r>
          </w:p>
        </w:tc>
        <w:tc>
          <w:tcPr>
            <w:tcW w:w="1430" w:type="dxa"/>
          </w:tcPr>
          <w:p w14:paraId="77A9BFC7" w14:textId="77777777" w:rsidR="009D7291" w:rsidRDefault="009D7291" w:rsidP="009D7291">
            <w:pPr>
              <w:cnfStyle w:val="000000100000" w:firstRow="0" w:lastRow="0" w:firstColumn="0" w:lastColumn="0" w:oddVBand="0" w:evenVBand="0" w:oddHBand="1" w:evenHBand="0" w:firstRowFirstColumn="0" w:firstRowLastColumn="0" w:lastRowFirstColumn="0" w:lastRowLastColumn="0"/>
              <w:rPr>
                <w:lang w:eastAsia="en-IE"/>
              </w:rPr>
            </w:pPr>
            <w:r>
              <w:rPr>
                <w:lang w:eastAsia="en-IE"/>
              </w:rPr>
              <w:t>7.2</w:t>
            </w:r>
          </w:p>
        </w:tc>
      </w:tr>
      <w:tr w:rsidR="009D7291" w14:paraId="2CA61313" w14:textId="77777777" w:rsidTr="009D7291">
        <w:trPr>
          <w:trHeight w:val="281"/>
        </w:trPr>
        <w:tc>
          <w:tcPr>
            <w:cnfStyle w:val="001000000000" w:firstRow="0" w:lastRow="0" w:firstColumn="1" w:lastColumn="0" w:oddVBand="0" w:evenVBand="0" w:oddHBand="0" w:evenHBand="0" w:firstRowFirstColumn="0" w:firstRowLastColumn="0" w:lastRowFirstColumn="0" w:lastRowLastColumn="0"/>
            <w:tcW w:w="1430" w:type="dxa"/>
          </w:tcPr>
          <w:p w14:paraId="1AEDA8DA" w14:textId="77777777" w:rsidR="009D7291" w:rsidRDefault="009D7291" w:rsidP="009D7291">
            <w:pPr>
              <w:rPr>
                <w:lang w:eastAsia="en-IE"/>
              </w:rPr>
            </w:pPr>
            <w:r>
              <w:rPr>
                <w:lang w:eastAsia="en-IE"/>
              </w:rPr>
              <w:t>CP</w:t>
            </w:r>
          </w:p>
        </w:tc>
        <w:tc>
          <w:tcPr>
            <w:tcW w:w="1430" w:type="dxa"/>
          </w:tcPr>
          <w:p w14:paraId="2A738445" w14:textId="77777777" w:rsidR="009D7291" w:rsidRDefault="009D7291" w:rsidP="009D7291">
            <w:pPr>
              <w:cnfStyle w:val="000000000000" w:firstRow="0" w:lastRow="0" w:firstColumn="0" w:lastColumn="0" w:oddVBand="0" w:evenVBand="0" w:oddHBand="0" w:evenHBand="0" w:firstRowFirstColumn="0" w:firstRowLastColumn="0" w:lastRowFirstColumn="0" w:lastRowLastColumn="0"/>
              <w:rPr>
                <w:lang w:eastAsia="en-IE"/>
              </w:rPr>
            </w:pPr>
            <w:r>
              <w:rPr>
                <w:lang w:eastAsia="en-IE"/>
              </w:rPr>
              <w:t>54.6</w:t>
            </w:r>
          </w:p>
        </w:tc>
      </w:tr>
      <w:tr w:rsidR="009D7291" w14:paraId="3C86A3F3" w14:textId="77777777" w:rsidTr="009D729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30" w:type="dxa"/>
          </w:tcPr>
          <w:p w14:paraId="7A3688BB" w14:textId="77777777" w:rsidR="009D7291" w:rsidRDefault="009D7291" w:rsidP="009D7291">
            <w:pPr>
              <w:rPr>
                <w:lang w:eastAsia="en-IE"/>
              </w:rPr>
            </w:pPr>
            <w:r>
              <w:rPr>
                <w:lang w:eastAsia="en-IE"/>
              </w:rPr>
              <w:t>UCLP</w:t>
            </w:r>
          </w:p>
        </w:tc>
        <w:tc>
          <w:tcPr>
            <w:tcW w:w="1430" w:type="dxa"/>
          </w:tcPr>
          <w:p w14:paraId="19285D0E" w14:textId="77777777" w:rsidR="009D7291" w:rsidRDefault="009D7291" w:rsidP="009D7291">
            <w:pPr>
              <w:cnfStyle w:val="000000100000" w:firstRow="0" w:lastRow="0" w:firstColumn="0" w:lastColumn="0" w:oddVBand="0" w:evenVBand="0" w:oddHBand="1" w:evenHBand="0" w:firstRowFirstColumn="0" w:firstRowLastColumn="0" w:lastRowFirstColumn="0" w:lastRowLastColumn="0"/>
              <w:rPr>
                <w:lang w:eastAsia="en-IE"/>
              </w:rPr>
            </w:pPr>
            <w:r>
              <w:rPr>
                <w:lang w:eastAsia="en-IE"/>
              </w:rPr>
              <w:t>27.8</w:t>
            </w:r>
          </w:p>
        </w:tc>
      </w:tr>
      <w:tr w:rsidR="009D7291" w14:paraId="2892CE58" w14:textId="77777777" w:rsidTr="009D7291">
        <w:trPr>
          <w:trHeight w:val="281"/>
        </w:trPr>
        <w:tc>
          <w:tcPr>
            <w:cnfStyle w:val="001000000000" w:firstRow="0" w:lastRow="0" w:firstColumn="1" w:lastColumn="0" w:oddVBand="0" w:evenVBand="0" w:oddHBand="0" w:evenHBand="0" w:firstRowFirstColumn="0" w:firstRowLastColumn="0" w:lastRowFirstColumn="0" w:lastRowLastColumn="0"/>
            <w:tcW w:w="1430" w:type="dxa"/>
          </w:tcPr>
          <w:p w14:paraId="144C6E28" w14:textId="77777777" w:rsidR="009D7291" w:rsidRDefault="009D7291" w:rsidP="009D7291">
            <w:pPr>
              <w:rPr>
                <w:lang w:eastAsia="en-IE"/>
              </w:rPr>
            </w:pPr>
            <w:r>
              <w:rPr>
                <w:lang w:eastAsia="en-IE"/>
              </w:rPr>
              <w:t>BCLP</w:t>
            </w:r>
          </w:p>
        </w:tc>
        <w:tc>
          <w:tcPr>
            <w:tcW w:w="1430" w:type="dxa"/>
          </w:tcPr>
          <w:p w14:paraId="532AB5F1" w14:textId="77777777" w:rsidR="009D7291" w:rsidRDefault="009D7291" w:rsidP="009D7291">
            <w:pPr>
              <w:cnfStyle w:val="000000000000" w:firstRow="0" w:lastRow="0" w:firstColumn="0" w:lastColumn="0" w:oddVBand="0" w:evenVBand="0" w:oddHBand="0" w:evenHBand="0" w:firstRowFirstColumn="0" w:firstRowLastColumn="0" w:lastRowFirstColumn="0" w:lastRowLastColumn="0"/>
              <w:rPr>
                <w:lang w:eastAsia="en-IE"/>
              </w:rPr>
            </w:pPr>
            <w:r>
              <w:rPr>
                <w:lang w:eastAsia="en-IE"/>
              </w:rPr>
              <w:t>10.3</w:t>
            </w:r>
          </w:p>
        </w:tc>
      </w:tr>
    </w:tbl>
    <w:tbl>
      <w:tblPr>
        <w:tblStyle w:val="GridTable4-Accent2"/>
        <w:tblpPr w:leftFromText="180" w:rightFromText="180" w:vertAnchor="text" w:horzAnchor="page" w:tblpX="6381" w:tblpY="293"/>
        <w:tblW w:w="0" w:type="auto"/>
        <w:tblLook w:val="04A0" w:firstRow="1" w:lastRow="0" w:firstColumn="1" w:lastColumn="0" w:noHBand="0" w:noVBand="1"/>
      </w:tblPr>
      <w:tblGrid>
        <w:gridCol w:w="1388"/>
        <w:gridCol w:w="1388"/>
      </w:tblGrid>
      <w:tr w:rsidR="009D7291" w14:paraId="694F4A12" w14:textId="77777777" w:rsidTr="00BC311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8" w:type="dxa"/>
          </w:tcPr>
          <w:p w14:paraId="3589F076" w14:textId="77777777" w:rsidR="009D7291" w:rsidRDefault="009D7291" w:rsidP="00BC311A">
            <w:pPr>
              <w:rPr>
                <w:lang w:eastAsia="en-IE"/>
              </w:rPr>
            </w:pPr>
            <w:r>
              <w:rPr>
                <w:lang w:eastAsia="en-IE"/>
              </w:rPr>
              <w:t>Cleft Type</w:t>
            </w:r>
          </w:p>
        </w:tc>
        <w:tc>
          <w:tcPr>
            <w:tcW w:w="1388" w:type="dxa"/>
          </w:tcPr>
          <w:p w14:paraId="07DAA096" w14:textId="77777777" w:rsidR="009D7291" w:rsidRDefault="009D7291" w:rsidP="00BC311A">
            <w:pPr>
              <w:cnfStyle w:val="100000000000" w:firstRow="1" w:lastRow="0" w:firstColumn="0" w:lastColumn="0" w:oddVBand="0" w:evenVBand="0" w:oddHBand="0" w:evenHBand="0" w:firstRowFirstColumn="0" w:firstRowLastColumn="0" w:lastRowFirstColumn="0" w:lastRowLastColumn="0"/>
              <w:rPr>
                <w:lang w:eastAsia="en-IE"/>
              </w:rPr>
            </w:pPr>
            <w:r>
              <w:rPr>
                <w:lang w:eastAsia="en-IE"/>
              </w:rPr>
              <w:t>Percentage</w:t>
            </w:r>
          </w:p>
        </w:tc>
      </w:tr>
      <w:tr w:rsidR="009D7291" w14:paraId="118B36E7" w14:textId="77777777" w:rsidTr="00BC311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8" w:type="dxa"/>
          </w:tcPr>
          <w:p w14:paraId="21D97B7E" w14:textId="77777777" w:rsidR="009D7291" w:rsidRDefault="009D7291" w:rsidP="00BC311A">
            <w:pPr>
              <w:rPr>
                <w:lang w:eastAsia="en-IE"/>
              </w:rPr>
            </w:pPr>
            <w:r>
              <w:rPr>
                <w:lang w:eastAsia="en-IE"/>
              </w:rPr>
              <w:t>SMCP</w:t>
            </w:r>
          </w:p>
        </w:tc>
        <w:tc>
          <w:tcPr>
            <w:tcW w:w="1388" w:type="dxa"/>
          </w:tcPr>
          <w:p w14:paraId="2F635A48" w14:textId="77777777" w:rsidR="009D7291" w:rsidRDefault="009D7291" w:rsidP="00BC311A">
            <w:pPr>
              <w:cnfStyle w:val="000000100000" w:firstRow="0" w:lastRow="0" w:firstColumn="0" w:lastColumn="0" w:oddVBand="0" w:evenVBand="0" w:oddHBand="1" w:evenHBand="0" w:firstRowFirstColumn="0" w:firstRowLastColumn="0" w:lastRowFirstColumn="0" w:lastRowLastColumn="0"/>
              <w:rPr>
                <w:lang w:eastAsia="en-IE"/>
              </w:rPr>
            </w:pPr>
            <w:r>
              <w:rPr>
                <w:lang w:eastAsia="en-IE"/>
              </w:rPr>
              <w:t>5.9</w:t>
            </w:r>
          </w:p>
        </w:tc>
      </w:tr>
      <w:tr w:rsidR="009D7291" w14:paraId="058C1D70" w14:textId="77777777" w:rsidTr="00BC311A">
        <w:trPr>
          <w:trHeight w:val="283"/>
        </w:trPr>
        <w:tc>
          <w:tcPr>
            <w:cnfStyle w:val="001000000000" w:firstRow="0" w:lastRow="0" w:firstColumn="1" w:lastColumn="0" w:oddVBand="0" w:evenVBand="0" w:oddHBand="0" w:evenHBand="0" w:firstRowFirstColumn="0" w:firstRowLastColumn="0" w:lastRowFirstColumn="0" w:lastRowLastColumn="0"/>
            <w:tcW w:w="1388" w:type="dxa"/>
          </w:tcPr>
          <w:p w14:paraId="24C5FEFB" w14:textId="77777777" w:rsidR="009D7291" w:rsidRDefault="009D7291" w:rsidP="00BC311A">
            <w:pPr>
              <w:rPr>
                <w:lang w:eastAsia="en-IE"/>
              </w:rPr>
            </w:pPr>
            <w:r>
              <w:rPr>
                <w:lang w:eastAsia="en-IE"/>
              </w:rPr>
              <w:t>CP</w:t>
            </w:r>
          </w:p>
        </w:tc>
        <w:tc>
          <w:tcPr>
            <w:tcW w:w="1388" w:type="dxa"/>
          </w:tcPr>
          <w:p w14:paraId="5AD3AC76" w14:textId="77777777" w:rsidR="009D7291" w:rsidRDefault="009D7291" w:rsidP="00BC311A">
            <w:pPr>
              <w:cnfStyle w:val="000000000000" w:firstRow="0" w:lastRow="0" w:firstColumn="0" w:lastColumn="0" w:oddVBand="0" w:evenVBand="0" w:oddHBand="0" w:evenHBand="0" w:firstRowFirstColumn="0" w:firstRowLastColumn="0" w:lastRowFirstColumn="0" w:lastRowLastColumn="0"/>
              <w:rPr>
                <w:lang w:eastAsia="en-IE"/>
              </w:rPr>
            </w:pPr>
            <w:r>
              <w:rPr>
                <w:lang w:eastAsia="en-IE"/>
              </w:rPr>
              <w:t>47</w:t>
            </w:r>
          </w:p>
        </w:tc>
      </w:tr>
      <w:tr w:rsidR="009D7291" w14:paraId="73251E1F" w14:textId="77777777" w:rsidTr="00BC311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8" w:type="dxa"/>
          </w:tcPr>
          <w:p w14:paraId="6B51FABF" w14:textId="77777777" w:rsidR="009D7291" w:rsidRDefault="009D7291" w:rsidP="00BC311A">
            <w:pPr>
              <w:rPr>
                <w:lang w:eastAsia="en-IE"/>
              </w:rPr>
            </w:pPr>
            <w:r>
              <w:rPr>
                <w:lang w:eastAsia="en-IE"/>
              </w:rPr>
              <w:t>UCLP</w:t>
            </w:r>
          </w:p>
        </w:tc>
        <w:tc>
          <w:tcPr>
            <w:tcW w:w="1388" w:type="dxa"/>
          </w:tcPr>
          <w:p w14:paraId="430D5FE8" w14:textId="77777777" w:rsidR="009D7291" w:rsidRDefault="009D7291" w:rsidP="00BC311A">
            <w:pPr>
              <w:cnfStyle w:val="000000100000" w:firstRow="0" w:lastRow="0" w:firstColumn="0" w:lastColumn="0" w:oddVBand="0" w:evenVBand="0" w:oddHBand="1" w:evenHBand="0" w:firstRowFirstColumn="0" w:firstRowLastColumn="0" w:lastRowFirstColumn="0" w:lastRowLastColumn="0"/>
              <w:rPr>
                <w:lang w:eastAsia="en-IE"/>
              </w:rPr>
            </w:pPr>
            <w:r>
              <w:rPr>
                <w:lang w:eastAsia="en-IE"/>
              </w:rPr>
              <w:t>29.4</w:t>
            </w:r>
          </w:p>
        </w:tc>
      </w:tr>
      <w:tr w:rsidR="009D7291" w14:paraId="546D50E9" w14:textId="77777777" w:rsidTr="00BC311A">
        <w:trPr>
          <w:trHeight w:val="283"/>
        </w:trPr>
        <w:tc>
          <w:tcPr>
            <w:cnfStyle w:val="001000000000" w:firstRow="0" w:lastRow="0" w:firstColumn="1" w:lastColumn="0" w:oddVBand="0" w:evenVBand="0" w:oddHBand="0" w:evenHBand="0" w:firstRowFirstColumn="0" w:firstRowLastColumn="0" w:lastRowFirstColumn="0" w:lastRowLastColumn="0"/>
            <w:tcW w:w="1388" w:type="dxa"/>
          </w:tcPr>
          <w:p w14:paraId="7201791B" w14:textId="77777777" w:rsidR="009D7291" w:rsidRDefault="009D7291" w:rsidP="00BC311A">
            <w:pPr>
              <w:rPr>
                <w:lang w:eastAsia="en-IE"/>
              </w:rPr>
            </w:pPr>
            <w:r>
              <w:rPr>
                <w:lang w:eastAsia="en-IE"/>
              </w:rPr>
              <w:t>BCLP</w:t>
            </w:r>
          </w:p>
        </w:tc>
        <w:tc>
          <w:tcPr>
            <w:tcW w:w="1388" w:type="dxa"/>
          </w:tcPr>
          <w:p w14:paraId="3D8FE5BD" w14:textId="77777777" w:rsidR="009D7291" w:rsidRDefault="009D7291" w:rsidP="00BC311A">
            <w:pPr>
              <w:cnfStyle w:val="000000000000" w:firstRow="0" w:lastRow="0" w:firstColumn="0" w:lastColumn="0" w:oddVBand="0" w:evenVBand="0" w:oddHBand="0" w:evenHBand="0" w:firstRowFirstColumn="0" w:firstRowLastColumn="0" w:lastRowFirstColumn="0" w:lastRowLastColumn="0"/>
              <w:rPr>
                <w:lang w:eastAsia="en-IE"/>
              </w:rPr>
            </w:pPr>
            <w:r>
              <w:rPr>
                <w:lang w:eastAsia="en-IE"/>
              </w:rPr>
              <w:t>17.6</w:t>
            </w:r>
          </w:p>
        </w:tc>
      </w:tr>
    </w:tbl>
    <w:p w14:paraId="694147CC" w14:textId="5339D5A9" w:rsidR="0063026B" w:rsidRDefault="0063026B" w:rsidP="0063026B">
      <w:pPr>
        <w:rPr>
          <w:lang w:eastAsia="en-IE"/>
        </w:rPr>
      </w:pPr>
    </w:p>
    <w:p w14:paraId="6CC683E4" w14:textId="16BEB752" w:rsidR="009D7291" w:rsidRDefault="009D7291" w:rsidP="0063026B">
      <w:pPr>
        <w:rPr>
          <w:lang w:eastAsia="en-IE"/>
        </w:rPr>
      </w:pPr>
    </w:p>
    <w:p w14:paraId="2D8B7113" w14:textId="52CCDA74" w:rsidR="009D7291" w:rsidRDefault="009D7291" w:rsidP="0063026B">
      <w:pPr>
        <w:rPr>
          <w:lang w:eastAsia="en-IE"/>
        </w:rPr>
      </w:pPr>
    </w:p>
    <w:p w14:paraId="7AC416C9" w14:textId="4CB54AE3" w:rsidR="009D7291" w:rsidRDefault="009D7291" w:rsidP="0063026B">
      <w:pPr>
        <w:rPr>
          <w:lang w:eastAsia="en-IE"/>
        </w:rPr>
      </w:pPr>
    </w:p>
    <w:p w14:paraId="413BED52" w14:textId="6676DEFF" w:rsidR="009D7291" w:rsidRDefault="009D7291" w:rsidP="00E72D47">
      <w:pPr>
        <w:pStyle w:val="Subtitle"/>
        <w:rPr>
          <w:lang w:eastAsia="en-IE"/>
        </w:rPr>
      </w:pPr>
      <w:r>
        <w:rPr>
          <w:lang w:eastAsia="en-IE"/>
        </w:rPr>
        <w:t>Table 1 – Comparison of cleft type in</w:t>
      </w:r>
      <w:r w:rsidR="00B21906">
        <w:rPr>
          <w:lang w:eastAsia="en-IE"/>
        </w:rPr>
        <w:t xml:space="preserve"> </w:t>
      </w:r>
      <w:r w:rsidR="007B10A2">
        <w:rPr>
          <w:lang w:eastAsia="en-IE"/>
        </w:rPr>
        <w:t>all patients</w:t>
      </w:r>
      <w:r>
        <w:rPr>
          <w:lang w:eastAsia="en-IE"/>
        </w:rPr>
        <w:t>, by percentage</w:t>
      </w:r>
    </w:p>
    <w:p w14:paraId="05956E89" w14:textId="5D1A9C70" w:rsidR="009D7291" w:rsidRDefault="009D7291" w:rsidP="00E72D47">
      <w:pPr>
        <w:pStyle w:val="Subtitle"/>
        <w:rPr>
          <w:lang w:eastAsia="en-IE"/>
        </w:rPr>
      </w:pPr>
      <w:r>
        <w:rPr>
          <w:lang w:eastAsia="en-IE"/>
        </w:rPr>
        <w:t>Table 2 – Comparison of cleft type in patients requiring further surgery, by percentage</w:t>
      </w:r>
    </w:p>
    <w:p w14:paraId="4AE4CA74" w14:textId="03B7A2DF" w:rsidR="009D7291" w:rsidRDefault="009D7291" w:rsidP="0063026B">
      <w:pPr>
        <w:rPr>
          <w:lang w:eastAsia="en-IE"/>
        </w:rPr>
      </w:pPr>
      <w:r>
        <w:rPr>
          <w:noProof/>
        </w:rPr>
        <w:drawing>
          <wp:anchor distT="0" distB="0" distL="114300" distR="114300" simplePos="0" relativeHeight="251670528" behindDoc="0" locked="0" layoutInCell="1" allowOverlap="1" wp14:anchorId="351053DD" wp14:editId="59EAF88F">
            <wp:simplePos x="0" y="0"/>
            <wp:positionH relativeFrom="margin">
              <wp:align>center</wp:align>
            </wp:positionH>
            <wp:positionV relativeFrom="paragraph">
              <wp:posOffset>209801</wp:posOffset>
            </wp:positionV>
            <wp:extent cx="3210560" cy="1597660"/>
            <wp:effectExtent l="0" t="0" r="8890" b="2540"/>
            <wp:wrapTopAndBottom/>
            <wp:docPr id="2" name="Chart 2">
              <a:extLst xmlns:a="http://schemas.openxmlformats.org/drawingml/2006/main">
                <a:ext uri="{FF2B5EF4-FFF2-40B4-BE49-F238E27FC236}">
                  <a16:creationId xmlns:a16="http://schemas.microsoft.com/office/drawing/2014/main" id="{8B94EEAD-1F23-4936-BE83-7298F2F18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0A2E19C" w14:textId="4742526E" w:rsidR="009D7291" w:rsidRDefault="009D7291" w:rsidP="00E72D47">
      <w:pPr>
        <w:pStyle w:val="Subtitle"/>
        <w:rPr>
          <w:lang w:eastAsia="en-IE"/>
        </w:rPr>
      </w:pPr>
      <w:r>
        <w:rPr>
          <w:lang w:eastAsia="en-IE"/>
        </w:rPr>
        <w:t xml:space="preserve">Figure 2 – </w:t>
      </w:r>
      <w:r w:rsidR="007B7B37">
        <w:rPr>
          <w:lang w:eastAsia="en-IE"/>
        </w:rPr>
        <w:t>Breakdown of cleft type, comparing those requiring further surgery with those not requiring further surgery</w:t>
      </w:r>
    </w:p>
    <w:p w14:paraId="28ED5828" w14:textId="58A4C52D" w:rsidR="009D7291" w:rsidRDefault="009D7291" w:rsidP="0063026B">
      <w:pPr>
        <w:rPr>
          <w:lang w:eastAsia="en-IE"/>
        </w:rPr>
      </w:pPr>
    </w:p>
    <w:p w14:paraId="184A844D" w14:textId="34948AF2" w:rsidR="0063026B" w:rsidRPr="00A9342F" w:rsidRDefault="0063026B" w:rsidP="00A9342F">
      <w:pPr>
        <w:pStyle w:val="Heading2"/>
      </w:pPr>
      <w:bookmarkStart w:id="11" w:name="_Toc129708555"/>
      <w:r w:rsidRPr="00A9342F">
        <w:t>Speech outcomes, as recorded by serial GOS.SP.ASS scores</w:t>
      </w:r>
      <w:bookmarkEnd w:id="11"/>
    </w:p>
    <w:p w14:paraId="6AF3775B" w14:textId="5EFFF02F" w:rsidR="00126BCE" w:rsidRDefault="0063026B" w:rsidP="007B7B37">
      <w:pPr>
        <w:spacing w:after="0"/>
        <w:jc w:val="both"/>
        <w:rPr>
          <w:lang w:val="en-GB"/>
        </w:rPr>
      </w:pPr>
      <w:r>
        <w:rPr>
          <w:lang w:val="en-GB"/>
        </w:rPr>
        <w:t xml:space="preserve">In total, 97 patients had recorded GOS.SP.ASS scores for hypernasality, </w:t>
      </w:r>
      <w:proofErr w:type="spellStart"/>
      <w:r>
        <w:rPr>
          <w:lang w:val="en-GB"/>
        </w:rPr>
        <w:t>hyponasality</w:t>
      </w:r>
      <w:proofErr w:type="spellEnd"/>
      <w:r>
        <w:rPr>
          <w:lang w:val="en-GB"/>
        </w:rPr>
        <w:t>, nasal turbulence and nasal emission.</w:t>
      </w:r>
      <w:r w:rsidR="004A0899">
        <w:rPr>
          <w:lang w:val="en-GB"/>
        </w:rPr>
        <w:t xml:space="preserve"> </w:t>
      </w:r>
      <w:r w:rsidR="00A40655">
        <w:rPr>
          <w:lang w:val="en-GB"/>
        </w:rPr>
        <w:t xml:space="preserve">Each parameter is recorded a score of absent, mild, </w:t>
      </w:r>
      <w:proofErr w:type="gramStart"/>
      <w:r w:rsidR="00A40655">
        <w:rPr>
          <w:lang w:val="en-GB"/>
        </w:rPr>
        <w:t>moderate</w:t>
      </w:r>
      <w:proofErr w:type="gramEnd"/>
      <w:r w:rsidR="00A40655">
        <w:rPr>
          <w:lang w:val="en-GB"/>
        </w:rPr>
        <w:t xml:space="preserve"> or severe – denoted as 0, 1, 2 and 3 respectively. For hypernasality, an additional category of </w:t>
      </w:r>
      <w:r w:rsidR="00126BCE">
        <w:rPr>
          <w:lang w:val="en-GB"/>
        </w:rPr>
        <w:t>mild inconsistent</w:t>
      </w:r>
      <w:r w:rsidR="00A40655">
        <w:rPr>
          <w:lang w:val="en-GB"/>
        </w:rPr>
        <w:t xml:space="preserve"> (denoted 0-1) is accepted in the literature.</w:t>
      </w:r>
      <w:r w:rsidR="00A40655">
        <w:rPr>
          <w:lang w:val="en-GB"/>
        </w:rPr>
        <w:fldChar w:fldCharType="begin" w:fldLock="1"/>
      </w:r>
      <w:r w:rsidR="00276744">
        <w:rPr>
          <w:lang w:val="en-GB"/>
        </w:rPr>
        <w:instrText>ADDIN CSL_CITATION {"citationItems":[{"id":"ITEM-1","itemData":{"DOI":"10.1597/04-141.1","ISSN":"1055-6656","PMID":"16681400","abstract":"OBJECTIVES To develop an assessment tool for use in intercenter audit studies of cleft speech and to test its acceptability, validity, and reliability. The tool is to be used systematically to record and report speech outcomes, providing an indication of treatment needs and continuing burden of care. SETTING Regional Cleft Center, U.K. METHODS The Cleft Audit Protocol for Speech-Augmented (CAPS-A) was developed by three cleft speech experts who identified the key features required from existing assessment measures. Criterion validity was assessed by comparing the Cleft Audit Protocol for Speech-Augmented outcomes reported for 20 cases with clinical assessment results and other investigations. Intra- and interrater reliability were tested following the training of specialist speech and language therapists who used the Cleft Audit Protocol for Speech-Augmented on two occasions to assess 10 cases. The raters evaluated acceptability and ease of using a questionnaire. RESULTS The mean percentage agreement for criterion validity in each section was 87% (range 70% to 100%). Both intra- and interexaminer reliability were rated as good/very good (Kappa 0.61 to 1.00) for seven sections and moderate (Kappa 0.41 to 0.60) for three sections. Raters reported that the Cleft Audit Protocol for Speech-Augmented was acceptable and easy to use with appropriate training. CONCLUSION An acceptable, valid, and reliable cleft speech audit tool has been developed based on a small sample. The Cleft Audit Protocol for Speech-Augmented is recommended for use in intercenter audit studies in the U.K. and Ireland and could be used in other English-speaking countries. In addition, it has wider applicability for use in reporting speech outcomes of surgical procedures.","author":[{"dropping-particle":"","family":"John","given":"Alexandra","non-dropping-particle":"","parse-names":false,"suffix":""},{"dropping-particle":"","family":"Sell","given":"Debbie","non-dropping-particle":"","parse-names":false,"suffix":""},{"dropping-particle":"","family":"Sweeney","given":"Triona","non-dropping-particle":"","parse-names":false,"suffix":""},{"dropping-particle":"","family":"Harding-Bell","given":"Anne","non-dropping-particle":"","parse-names":false,"suffix":""},{"dropping-particle":"","family":"Williams","given":"Alison","non-dropping-particle":"","parse-names":false,"suffix":""}],"container-title":"The Cleft Palate-Craniofacial Journal","id":"ITEM-1","issue":"3","issued":{"date-parts":[["2006","5"]]},"page":"272-288","publisher":"SAGE Publications","title":"The Cleft Audit Protocol for Speech—Augmented: A Validated and Reliable Measure for Auditing Cleft Speech","type":"article-journal","volume":"43"},"uris":["http://www.mendeley.com/documents/?uuid=208555da-367c-32ea-aa2b-ccce44e20acf"]}],"mendeley":{"formattedCitation":"&lt;sup&gt;5&lt;/sup&gt;","plainTextFormattedCitation":"5","previouslyFormattedCitation":"&lt;sup&gt;5&lt;/sup&gt;"},"properties":{"noteIndex":0},"schema":"https://github.com/citation-style-language/schema/raw/master/csl-citation.json"}</w:instrText>
      </w:r>
      <w:r w:rsidR="00A40655">
        <w:rPr>
          <w:lang w:val="en-GB"/>
        </w:rPr>
        <w:fldChar w:fldCharType="separate"/>
      </w:r>
      <w:r w:rsidR="00060656" w:rsidRPr="00060656">
        <w:rPr>
          <w:noProof/>
          <w:vertAlign w:val="superscript"/>
          <w:lang w:val="en-GB"/>
        </w:rPr>
        <w:t>5</w:t>
      </w:r>
      <w:r w:rsidR="00A40655">
        <w:rPr>
          <w:lang w:val="en-GB"/>
        </w:rPr>
        <w:fldChar w:fldCharType="end"/>
      </w:r>
    </w:p>
    <w:p w14:paraId="1BAE1909" w14:textId="496217C9" w:rsidR="007C4BBB" w:rsidRDefault="007C4BBB" w:rsidP="007B7B37">
      <w:pPr>
        <w:spacing w:after="0"/>
        <w:jc w:val="both"/>
        <w:rPr>
          <w:lang w:val="en-GB"/>
        </w:rPr>
      </w:pPr>
    </w:p>
    <w:p w14:paraId="06DA556D" w14:textId="52FBB27D" w:rsidR="007C4BBB" w:rsidRDefault="00352712" w:rsidP="007C4BBB">
      <w:pPr>
        <w:jc w:val="both"/>
        <w:rPr>
          <w:noProof/>
        </w:rPr>
      </w:pPr>
      <w:r>
        <w:rPr>
          <w:noProof/>
        </w:rPr>
        <mc:AlternateContent>
          <mc:Choice Requires="wps">
            <w:drawing>
              <wp:anchor distT="0" distB="0" distL="114300" distR="114300" simplePos="0" relativeHeight="251684864" behindDoc="0" locked="0" layoutInCell="1" allowOverlap="1" wp14:anchorId="5CF04BE5" wp14:editId="6F70F801">
                <wp:simplePos x="0" y="0"/>
                <wp:positionH relativeFrom="column">
                  <wp:posOffset>209227</wp:posOffset>
                </wp:positionH>
                <wp:positionV relativeFrom="paragraph">
                  <wp:posOffset>1363958</wp:posOffset>
                </wp:positionV>
                <wp:extent cx="1588576" cy="1479206"/>
                <wp:effectExtent l="0" t="0" r="31115" b="26035"/>
                <wp:wrapNone/>
                <wp:docPr id="11" name="Straight Connector 11"/>
                <wp:cNvGraphicFramePr/>
                <a:graphic xmlns:a="http://schemas.openxmlformats.org/drawingml/2006/main">
                  <a:graphicData uri="http://schemas.microsoft.com/office/word/2010/wordprocessingShape">
                    <wps:wsp>
                      <wps:cNvCnPr/>
                      <wps:spPr>
                        <a:xfrm flipV="1">
                          <a:off x="0" y="0"/>
                          <a:ext cx="1588576" cy="1479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5ACC3" id="Straight Connector 1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107.4pt" to="141.55pt,2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" strokecolor="#4472c4 [3204]" strokeweight=".5pt">
                <v:stroke joinstyle="miter"/>
              </v:line>
            </w:pict>
          </mc:Fallback>
        </mc:AlternateContent>
      </w:r>
      <w:r>
        <w:rPr>
          <w:noProof/>
        </w:rPr>
        <w:drawing>
          <wp:anchor distT="0" distB="0" distL="114300" distR="114300" simplePos="0" relativeHeight="251685888" behindDoc="0" locked="0" layoutInCell="1" allowOverlap="1" wp14:anchorId="0E143A3D" wp14:editId="129179BB">
            <wp:simplePos x="0" y="0"/>
            <wp:positionH relativeFrom="margin">
              <wp:align>right</wp:align>
            </wp:positionH>
            <wp:positionV relativeFrom="paragraph">
              <wp:posOffset>902528</wp:posOffset>
            </wp:positionV>
            <wp:extent cx="2520000" cy="2520000"/>
            <wp:effectExtent l="0" t="0" r="13970" b="13970"/>
            <wp:wrapTopAndBottom/>
            <wp:docPr id="31" name="Chart 31">
              <a:extLst xmlns:a="http://schemas.openxmlformats.org/drawingml/2006/main">
                <a:ext uri="{FF2B5EF4-FFF2-40B4-BE49-F238E27FC236}">
                  <a16:creationId xmlns:a16="http://schemas.microsoft.com/office/drawing/2014/main" id="{C8CB5F0D-21D9-45A2-8DA2-44A79371AB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770C4">
        <w:rPr>
          <w:noProof/>
        </w:rPr>
        <w:drawing>
          <wp:anchor distT="0" distB="0" distL="114300" distR="114300" simplePos="0" relativeHeight="251658239" behindDoc="0" locked="0" layoutInCell="1" allowOverlap="1" wp14:anchorId="0E17F72F" wp14:editId="71F7AFE8">
            <wp:simplePos x="0" y="0"/>
            <wp:positionH relativeFrom="column">
              <wp:posOffset>-271145</wp:posOffset>
            </wp:positionH>
            <wp:positionV relativeFrom="paragraph">
              <wp:posOffset>897890</wp:posOffset>
            </wp:positionV>
            <wp:extent cx="2520000" cy="2520000"/>
            <wp:effectExtent l="0" t="0" r="13970" b="13970"/>
            <wp:wrapTopAndBottom/>
            <wp:docPr id="21" name="Chart 21">
              <a:extLst xmlns:a="http://schemas.openxmlformats.org/drawingml/2006/main">
                <a:ext uri="{FF2B5EF4-FFF2-40B4-BE49-F238E27FC236}">
                  <a16:creationId xmlns:a16="http://schemas.microsoft.com/office/drawing/2014/main" id="{F5DFF8E6-A80E-4A25-8CF6-E48F8C927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C4BBB">
        <w:rPr>
          <w:noProof/>
        </w:rPr>
        <w:t xml:space="preserve">Preoperative and postoperative values for hypernasality, hyponasality, nasal emission and nasal turbulence were graphically plotted with preoperative scores on x-axis and postoperative scores on y-axis, with each dot representing a patient. The results were “jittered” so that patients with similar scores could be visualised on the graphic representation. </w:t>
      </w:r>
    </w:p>
    <w:p w14:paraId="4B2DAF53" w14:textId="528D0FF8" w:rsidR="007C4BBB" w:rsidRDefault="00352712" w:rsidP="00085933">
      <w:pPr>
        <w:rPr>
          <w:noProof/>
        </w:rPr>
      </w:pPr>
      <w:r>
        <w:rPr>
          <w:noProof/>
        </w:rPr>
        <w:lastRenderedPageBreak/>
        <mc:AlternateContent>
          <mc:Choice Requires="wps">
            <w:drawing>
              <wp:anchor distT="0" distB="0" distL="114300" distR="114300" simplePos="0" relativeHeight="251692032" behindDoc="0" locked="0" layoutInCell="1" allowOverlap="1" wp14:anchorId="08AA8E04" wp14:editId="1727B792">
                <wp:simplePos x="0" y="0"/>
                <wp:positionH relativeFrom="column">
                  <wp:posOffset>3708863</wp:posOffset>
                </wp:positionH>
                <wp:positionV relativeFrom="paragraph">
                  <wp:posOffset>462366</wp:posOffset>
                </wp:positionV>
                <wp:extent cx="1821051" cy="1486664"/>
                <wp:effectExtent l="0" t="0" r="27305" b="18415"/>
                <wp:wrapNone/>
                <wp:docPr id="99" name="Straight Connector 99"/>
                <wp:cNvGraphicFramePr/>
                <a:graphic xmlns:a="http://schemas.openxmlformats.org/drawingml/2006/main">
                  <a:graphicData uri="http://schemas.microsoft.com/office/word/2010/wordprocessingShape">
                    <wps:wsp>
                      <wps:cNvCnPr/>
                      <wps:spPr>
                        <a:xfrm flipV="1">
                          <a:off x="0" y="0"/>
                          <a:ext cx="1821051" cy="14866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BE2EE" id="Straight Connector 9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05pt,36.4pt" to="435.4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" strokecolor="#4472c4 [3204]" strokeweight=".5pt">
                <v:stroke joinstyle="miter"/>
              </v:line>
            </w:pict>
          </mc:Fallback>
        </mc:AlternateContent>
      </w:r>
      <w:r>
        <w:rPr>
          <w:noProof/>
        </w:rPr>
        <w:drawing>
          <wp:anchor distT="0" distB="0" distL="114300" distR="114300" simplePos="0" relativeHeight="251689984" behindDoc="0" locked="0" layoutInCell="1" allowOverlap="1" wp14:anchorId="1EADAEA2" wp14:editId="714581CD">
            <wp:simplePos x="0" y="0"/>
            <wp:positionH relativeFrom="margin">
              <wp:align>right</wp:align>
            </wp:positionH>
            <wp:positionV relativeFrom="paragraph">
              <wp:posOffset>54</wp:posOffset>
            </wp:positionV>
            <wp:extent cx="2520000" cy="2520000"/>
            <wp:effectExtent l="0" t="0" r="13970" b="13970"/>
            <wp:wrapTopAndBottom/>
            <wp:docPr id="98" name="Chart 98">
              <a:extLst xmlns:a="http://schemas.openxmlformats.org/drawingml/2006/main">
                <a:ext uri="{FF2B5EF4-FFF2-40B4-BE49-F238E27FC236}">
                  <a16:creationId xmlns:a16="http://schemas.microsoft.com/office/drawing/2014/main" id="{916F18AF-74D8-457E-9962-652B03107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2E657F69" wp14:editId="49D66920">
                <wp:simplePos x="0" y="0"/>
                <wp:positionH relativeFrom="column">
                  <wp:posOffset>519193</wp:posOffset>
                </wp:positionH>
                <wp:positionV relativeFrom="paragraph">
                  <wp:posOffset>457200</wp:posOffset>
                </wp:positionV>
                <wp:extent cx="1821051" cy="1486664"/>
                <wp:effectExtent l="0" t="0" r="27305" b="18415"/>
                <wp:wrapNone/>
                <wp:docPr id="97" name="Straight Connector 97"/>
                <wp:cNvGraphicFramePr/>
                <a:graphic xmlns:a="http://schemas.openxmlformats.org/drawingml/2006/main">
                  <a:graphicData uri="http://schemas.microsoft.com/office/word/2010/wordprocessingShape">
                    <wps:wsp>
                      <wps:cNvCnPr/>
                      <wps:spPr>
                        <a:xfrm flipV="1">
                          <a:off x="0" y="0"/>
                          <a:ext cx="1821051" cy="14866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89A4F" id="Straight Connector 97"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pt,36pt" to="184.3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" strokecolor="#4472c4 [3204]" strokeweight=".5pt">
                <v:stroke joinstyle="miter"/>
              </v:line>
            </w:pict>
          </mc:Fallback>
        </mc:AlternateContent>
      </w:r>
      <w:r>
        <w:rPr>
          <w:noProof/>
        </w:rPr>
        <w:drawing>
          <wp:anchor distT="0" distB="0" distL="114300" distR="114300" simplePos="0" relativeHeight="251686912" behindDoc="0" locked="0" layoutInCell="1" allowOverlap="1" wp14:anchorId="50014C84" wp14:editId="5F0F83F0">
            <wp:simplePos x="0" y="0"/>
            <wp:positionH relativeFrom="margin">
              <wp:align>left</wp:align>
            </wp:positionH>
            <wp:positionV relativeFrom="paragraph">
              <wp:posOffset>-129</wp:posOffset>
            </wp:positionV>
            <wp:extent cx="2520000" cy="2520000"/>
            <wp:effectExtent l="0" t="0" r="13970" b="13970"/>
            <wp:wrapTopAndBottom/>
            <wp:docPr id="96" name="Chart 96">
              <a:extLst xmlns:a="http://schemas.openxmlformats.org/drawingml/2006/main">
                <a:ext uri="{FF2B5EF4-FFF2-40B4-BE49-F238E27FC236}">
                  <a16:creationId xmlns:a16="http://schemas.microsoft.com/office/drawing/2014/main" id="{AE12D748-4F6B-47F2-B56B-AADFF20B8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35E424D" w14:textId="005DD78D" w:rsidR="00085933" w:rsidRDefault="00085933" w:rsidP="007C4BBB">
      <w:pPr>
        <w:jc w:val="both"/>
        <w:rPr>
          <w:noProof/>
        </w:rPr>
      </w:pPr>
      <w:r w:rsidRPr="00085933">
        <w:rPr>
          <w:noProof/>
        </w:rPr>
        <w:t xml:space="preserve"> </w:t>
      </w:r>
    </w:p>
    <w:p w14:paraId="74AA7A95" w14:textId="2E0C1B80" w:rsidR="007C4BBB" w:rsidRDefault="00085933" w:rsidP="00085933">
      <w:pPr>
        <w:pStyle w:val="Subtitle"/>
        <w:rPr>
          <w:lang w:val="en-GB"/>
        </w:rPr>
      </w:pPr>
      <w:r>
        <w:rPr>
          <w:lang w:val="en-GB"/>
        </w:rPr>
        <w:t xml:space="preserve">Figure 3 – “Jittered” preoperative (x-axis) and postoperative (y-axis) scores for hypernasality, </w:t>
      </w:r>
      <w:proofErr w:type="spellStart"/>
      <w:r>
        <w:rPr>
          <w:lang w:val="en-GB"/>
        </w:rPr>
        <w:t>hyponasality</w:t>
      </w:r>
      <w:proofErr w:type="spellEnd"/>
      <w:r>
        <w:rPr>
          <w:lang w:val="en-GB"/>
        </w:rPr>
        <w:t>, nasal</w:t>
      </w:r>
      <w:r w:rsidR="006B296C">
        <w:rPr>
          <w:lang w:val="en-GB"/>
        </w:rPr>
        <w:t xml:space="preserve"> emission and nasal turbulence.</w:t>
      </w:r>
    </w:p>
    <w:p w14:paraId="1BA1AC89" w14:textId="233E5BAE" w:rsidR="00126BCE" w:rsidRDefault="00126BCE" w:rsidP="007B7B37">
      <w:pPr>
        <w:spacing w:after="0"/>
        <w:jc w:val="both"/>
        <w:rPr>
          <w:lang w:val="en-GB"/>
        </w:rPr>
      </w:pPr>
    </w:p>
    <w:p w14:paraId="7A6C389C" w14:textId="53FB5943" w:rsidR="00126BCE" w:rsidRDefault="00A40655" w:rsidP="00050CBB">
      <w:pPr>
        <w:pStyle w:val="Heading2"/>
        <w:contextualSpacing/>
        <w:rPr>
          <w:lang w:val="en-GB"/>
        </w:rPr>
        <w:sectPr w:rsidR="00126BCE" w:rsidSect="007B7B37">
          <w:type w:val="continuous"/>
          <w:pgSz w:w="11906" w:h="16838"/>
          <w:pgMar w:top="1440" w:right="1440" w:bottom="1440" w:left="1440" w:header="708" w:footer="708" w:gutter="0"/>
          <w:pgNumType w:start="0"/>
          <w:cols w:space="708"/>
          <w:titlePg/>
          <w:docGrid w:linePitch="360"/>
        </w:sectPr>
      </w:pPr>
      <w:bookmarkStart w:id="12" w:name="_Toc129708556"/>
      <w:r>
        <w:rPr>
          <w:lang w:val="en-GB"/>
        </w:rPr>
        <w:t>Hypernasalit</w:t>
      </w:r>
      <w:r w:rsidR="00050CBB">
        <w:rPr>
          <w:lang w:val="en-GB"/>
        </w:rPr>
        <w:t>y</w:t>
      </w:r>
      <w:bookmarkEnd w:id="12"/>
    </w:p>
    <w:p w14:paraId="6280CA6A" w14:textId="378FB42E" w:rsidR="00126BCE" w:rsidRDefault="00126BCE" w:rsidP="00126BCE">
      <w:pPr>
        <w:spacing w:after="0" w:line="240" w:lineRule="auto"/>
        <w:contextualSpacing/>
        <w:rPr>
          <w:lang w:val="en-GB"/>
        </w:rPr>
      </w:pPr>
    </w:p>
    <w:p w14:paraId="012853C0" w14:textId="71085A9C" w:rsidR="007B7B37" w:rsidRDefault="00A40655" w:rsidP="00126BCE">
      <w:pPr>
        <w:spacing w:after="0" w:line="240" w:lineRule="auto"/>
        <w:contextualSpacing/>
        <w:jc w:val="both"/>
        <w:rPr>
          <w:noProof/>
        </w:rPr>
      </w:pPr>
      <w:r>
        <w:rPr>
          <w:lang w:val="en-GB"/>
        </w:rPr>
        <w:t xml:space="preserve">Figure </w:t>
      </w:r>
      <w:r w:rsidR="006B296C">
        <w:rPr>
          <w:lang w:val="en-GB"/>
        </w:rPr>
        <w:t>4</w:t>
      </w:r>
      <w:r>
        <w:rPr>
          <w:lang w:val="en-GB"/>
        </w:rPr>
        <w:t xml:space="preserve"> </w:t>
      </w:r>
      <w:r w:rsidR="00DA2FE1">
        <w:rPr>
          <w:lang w:val="en-GB"/>
        </w:rPr>
        <w:t xml:space="preserve">demonstrates hypernasality GOS.SP.ASS scores, using the “traffic light” system to allow comparison of preoperative and postoperative scores. Where further surgery was undertaken, further postoperative scores were also included. </w:t>
      </w:r>
      <w:r w:rsidR="0001425C">
        <w:rPr>
          <w:lang w:val="en-GB"/>
        </w:rPr>
        <w:t xml:space="preserve">On Wilcoxon signed-ranked test evaluation, improvements in hypernasality were statistically significant (p &lt; .00001). </w:t>
      </w:r>
      <w:r w:rsidR="00951E9C">
        <w:rPr>
          <w:lang w:val="en-GB"/>
        </w:rPr>
        <w:t xml:space="preserve">There </w:t>
      </w:r>
      <w:r w:rsidR="00126BCE">
        <w:rPr>
          <w:lang w:val="en-GB"/>
        </w:rPr>
        <w:t>wa</w:t>
      </w:r>
      <w:r w:rsidR="00951E9C">
        <w:rPr>
          <w:lang w:val="en-GB"/>
        </w:rPr>
        <w:t>s a strong correlation between preoperative severity of hypernasality and postoperative severity of hypernasality.</w:t>
      </w:r>
      <w:r w:rsidR="00126BCE" w:rsidRPr="00126BCE">
        <w:rPr>
          <w:noProof/>
        </w:rPr>
        <w:t xml:space="preserve"> </w:t>
      </w:r>
      <w:r w:rsidR="00050CBB">
        <w:rPr>
          <w:noProof/>
        </w:rPr>
        <w:t xml:space="preserve">It is evident from the colour distribution in figure 3 that, in general, hypernasality scores improved following CPR-R surgery. </w:t>
      </w:r>
    </w:p>
    <w:p w14:paraId="65B52651" w14:textId="5DCE17F4" w:rsidR="00126BCE" w:rsidRPr="00126BCE" w:rsidRDefault="00126BCE" w:rsidP="00126BCE">
      <w:pPr>
        <w:jc w:val="center"/>
        <w:rPr>
          <w:noProof/>
        </w:rPr>
      </w:pPr>
      <w:r>
        <w:rPr>
          <w:noProof/>
        </w:rPr>
        <w:lastRenderedPageBreak/>
        <w:drawing>
          <wp:anchor distT="0" distB="0" distL="114300" distR="114300" simplePos="0" relativeHeight="251671552" behindDoc="0" locked="0" layoutInCell="1" allowOverlap="1" wp14:anchorId="2464541E" wp14:editId="704CA31A">
            <wp:simplePos x="0" y="0"/>
            <wp:positionH relativeFrom="column">
              <wp:posOffset>4075733</wp:posOffset>
            </wp:positionH>
            <wp:positionV relativeFrom="paragraph">
              <wp:posOffset>2206018</wp:posOffset>
            </wp:positionV>
            <wp:extent cx="904367" cy="4197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2047" t="50097" r="32158" b="36858"/>
                    <a:stretch/>
                  </pic:blipFill>
                  <pic:spPr bwMode="auto">
                    <a:xfrm>
                      <a:off x="0" y="0"/>
                      <a:ext cx="904367" cy="41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E5031D9" wp14:editId="1CF55A5D">
            <wp:extent cx="1741100" cy="353833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19" t="29915" r="79258" b="15366"/>
                    <a:stretch/>
                  </pic:blipFill>
                  <pic:spPr bwMode="auto">
                    <a:xfrm>
                      <a:off x="0" y="0"/>
                      <a:ext cx="1759012" cy="3574732"/>
                    </a:xfrm>
                    <a:prstGeom prst="rect">
                      <a:avLst/>
                    </a:prstGeom>
                    <a:ln>
                      <a:noFill/>
                    </a:ln>
                    <a:extLst>
                      <a:ext uri="{53640926-AAD7-44D8-BBD7-CCE9431645EC}">
                        <a14:shadowObscured xmlns:a14="http://schemas.microsoft.com/office/drawing/2010/main"/>
                      </a:ext>
                    </a:extLst>
                  </pic:spPr>
                </pic:pic>
              </a:graphicData>
            </a:graphic>
          </wp:inline>
        </w:drawing>
      </w:r>
    </w:p>
    <w:p w14:paraId="1EFD986E" w14:textId="31D69D6C" w:rsidR="00126BCE" w:rsidRPr="007B7B37" w:rsidRDefault="001F0A6C" w:rsidP="00E72D47">
      <w:pPr>
        <w:pStyle w:val="Subtitle"/>
        <w:rPr>
          <w:noProof/>
        </w:rPr>
      </w:pPr>
      <w:r>
        <w:rPr>
          <w:noProof/>
        </w:rPr>
        <w:t xml:space="preserve">Figure </w:t>
      </w:r>
      <w:r w:rsidR="006B296C">
        <w:rPr>
          <w:noProof/>
        </w:rPr>
        <w:t>4</w:t>
      </w:r>
      <w:r>
        <w:rPr>
          <w:noProof/>
        </w:rPr>
        <w:t xml:space="preserve"> – Preoperative, postoperative and post-further surgery hypernasality scores, as demonstrated by the “traffic light” system</w:t>
      </w:r>
    </w:p>
    <w:tbl>
      <w:tblPr>
        <w:tblStyle w:val="GridTable4-Accent2"/>
        <w:tblpPr w:leftFromText="180" w:rightFromText="180" w:vertAnchor="text" w:horzAnchor="margin" w:tblpY="2196"/>
        <w:tblW w:w="4139" w:type="dxa"/>
        <w:tblLook w:val="04A0" w:firstRow="1" w:lastRow="0" w:firstColumn="1" w:lastColumn="0" w:noHBand="0" w:noVBand="1"/>
      </w:tblPr>
      <w:tblGrid>
        <w:gridCol w:w="1301"/>
        <w:gridCol w:w="1301"/>
        <w:gridCol w:w="1537"/>
      </w:tblGrid>
      <w:tr w:rsidR="007B7B37" w:rsidRPr="00951E9C" w14:paraId="6551CC3F" w14:textId="77777777" w:rsidTr="000B1452">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01" w:type="dxa"/>
            <w:noWrap/>
            <w:hideMark/>
          </w:tcPr>
          <w:p w14:paraId="7AA92671" w14:textId="77777777" w:rsidR="007B7B37" w:rsidRPr="00951E9C" w:rsidRDefault="007B7B37" w:rsidP="000B1452">
            <w:pPr>
              <w:rPr>
                <w:rFonts w:ascii="Calibri" w:eastAsia="Times New Roman" w:hAnsi="Calibri" w:cs="Calibri"/>
                <w:color w:val="000000"/>
                <w:lang w:eastAsia="en-IE"/>
              </w:rPr>
            </w:pPr>
            <w:r w:rsidRPr="00951E9C">
              <w:rPr>
                <w:rFonts w:ascii="Calibri" w:eastAsia="Times New Roman" w:hAnsi="Calibri" w:cs="Calibri"/>
                <w:color w:val="000000"/>
                <w:lang w:eastAsia="en-IE"/>
              </w:rPr>
              <w:t>Score</w:t>
            </w:r>
          </w:p>
        </w:tc>
        <w:tc>
          <w:tcPr>
            <w:tcW w:w="1301" w:type="dxa"/>
            <w:noWrap/>
            <w:hideMark/>
          </w:tcPr>
          <w:p w14:paraId="4634BE4D" w14:textId="77777777" w:rsidR="007B7B37" w:rsidRPr="00951E9C" w:rsidRDefault="007B7B37" w:rsidP="000B14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Preop</w:t>
            </w:r>
          </w:p>
        </w:tc>
        <w:tc>
          <w:tcPr>
            <w:tcW w:w="1537" w:type="dxa"/>
            <w:noWrap/>
            <w:hideMark/>
          </w:tcPr>
          <w:p w14:paraId="7075768C" w14:textId="77777777" w:rsidR="007B7B37" w:rsidRPr="00951E9C" w:rsidRDefault="007B7B37" w:rsidP="000B14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Postop</w:t>
            </w:r>
          </w:p>
        </w:tc>
      </w:tr>
      <w:tr w:rsidR="007B7B37" w:rsidRPr="00951E9C" w14:paraId="030C18AB" w14:textId="77777777" w:rsidTr="000B145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01" w:type="dxa"/>
            <w:noWrap/>
            <w:hideMark/>
          </w:tcPr>
          <w:p w14:paraId="0E15829A" w14:textId="77777777" w:rsidR="007B7B37" w:rsidRPr="00951E9C" w:rsidRDefault="007B7B37" w:rsidP="000B1452">
            <w:pPr>
              <w:jc w:val="right"/>
              <w:rPr>
                <w:rFonts w:ascii="Calibri" w:eastAsia="Times New Roman" w:hAnsi="Calibri" w:cs="Calibri"/>
                <w:color w:val="000000"/>
                <w:lang w:eastAsia="en-IE"/>
              </w:rPr>
            </w:pPr>
            <w:r w:rsidRPr="00951E9C">
              <w:rPr>
                <w:rFonts w:ascii="Calibri" w:eastAsia="Times New Roman" w:hAnsi="Calibri" w:cs="Calibri"/>
                <w:color w:val="000000"/>
                <w:lang w:eastAsia="en-IE"/>
              </w:rPr>
              <w:t>0</w:t>
            </w:r>
          </w:p>
        </w:tc>
        <w:tc>
          <w:tcPr>
            <w:tcW w:w="1301" w:type="dxa"/>
            <w:noWrap/>
            <w:hideMark/>
          </w:tcPr>
          <w:p w14:paraId="6A400F21" w14:textId="77777777" w:rsidR="007B7B37" w:rsidRPr="00951E9C" w:rsidRDefault="007B7B37" w:rsidP="000B1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10</w:t>
            </w:r>
          </w:p>
        </w:tc>
        <w:tc>
          <w:tcPr>
            <w:tcW w:w="1537" w:type="dxa"/>
            <w:noWrap/>
            <w:hideMark/>
          </w:tcPr>
          <w:p w14:paraId="3691663E" w14:textId="77777777" w:rsidR="007B7B37" w:rsidRPr="00951E9C" w:rsidRDefault="007B7B37" w:rsidP="000B1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57</w:t>
            </w:r>
          </w:p>
        </w:tc>
      </w:tr>
      <w:tr w:rsidR="007B7B37" w:rsidRPr="00951E9C" w14:paraId="599E9259" w14:textId="77777777" w:rsidTr="000B1452">
        <w:trPr>
          <w:trHeight w:val="506"/>
        </w:trPr>
        <w:tc>
          <w:tcPr>
            <w:cnfStyle w:val="001000000000" w:firstRow="0" w:lastRow="0" w:firstColumn="1" w:lastColumn="0" w:oddVBand="0" w:evenVBand="0" w:oddHBand="0" w:evenHBand="0" w:firstRowFirstColumn="0" w:firstRowLastColumn="0" w:lastRowFirstColumn="0" w:lastRowLastColumn="0"/>
            <w:tcW w:w="1301" w:type="dxa"/>
            <w:noWrap/>
            <w:hideMark/>
          </w:tcPr>
          <w:p w14:paraId="021AF7D2" w14:textId="77777777" w:rsidR="007B7B37" w:rsidRPr="00951E9C" w:rsidRDefault="007B7B37" w:rsidP="000B1452">
            <w:pPr>
              <w:jc w:val="right"/>
              <w:rPr>
                <w:rFonts w:ascii="Calibri" w:eastAsia="Times New Roman" w:hAnsi="Calibri" w:cs="Calibri"/>
                <w:color w:val="000000"/>
                <w:lang w:eastAsia="en-IE"/>
              </w:rPr>
            </w:pPr>
            <w:r>
              <w:rPr>
                <w:rFonts w:ascii="Calibri" w:eastAsia="Times New Roman" w:hAnsi="Calibri" w:cs="Calibri"/>
                <w:color w:val="000000"/>
                <w:lang w:eastAsia="en-IE"/>
              </w:rPr>
              <w:t xml:space="preserve"> </w:t>
            </w:r>
            <w:r w:rsidRPr="00951E9C">
              <w:rPr>
                <w:rFonts w:ascii="Calibri" w:eastAsia="Times New Roman" w:hAnsi="Calibri" w:cs="Calibri"/>
                <w:color w:val="000000"/>
                <w:lang w:eastAsia="en-IE"/>
              </w:rPr>
              <w:t>0-1</w:t>
            </w:r>
          </w:p>
        </w:tc>
        <w:tc>
          <w:tcPr>
            <w:tcW w:w="1301" w:type="dxa"/>
            <w:noWrap/>
            <w:hideMark/>
          </w:tcPr>
          <w:p w14:paraId="5FA1E066" w14:textId="77777777" w:rsidR="007B7B37" w:rsidRPr="00951E9C" w:rsidRDefault="007B7B37" w:rsidP="000B14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14</w:t>
            </w:r>
          </w:p>
        </w:tc>
        <w:tc>
          <w:tcPr>
            <w:tcW w:w="1537" w:type="dxa"/>
            <w:noWrap/>
            <w:hideMark/>
          </w:tcPr>
          <w:p w14:paraId="602A80DD" w14:textId="77777777" w:rsidR="007B7B37" w:rsidRPr="00951E9C" w:rsidRDefault="007B7B37" w:rsidP="000B14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16</w:t>
            </w:r>
          </w:p>
        </w:tc>
      </w:tr>
      <w:tr w:rsidR="007B7B37" w:rsidRPr="00951E9C" w14:paraId="30EFB3F9" w14:textId="77777777" w:rsidTr="000B145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01" w:type="dxa"/>
            <w:noWrap/>
            <w:hideMark/>
          </w:tcPr>
          <w:p w14:paraId="33614809" w14:textId="77777777" w:rsidR="007B7B37" w:rsidRPr="00951E9C" w:rsidRDefault="007B7B37" w:rsidP="000B1452">
            <w:pPr>
              <w:jc w:val="right"/>
              <w:rPr>
                <w:rFonts w:ascii="Calibri" w:eastAsia="Times New Roman" w:hAnsi="Calibri" w:cs="Calibri"/>
                <w:color w:val="000000"/>
                <w:lang w:eastAsia="en-IE"/>
              </w:rPr>
            </w:pPr>
            <w:r w:rsidRPr="00951E9C">
              <w:rPr>
                <w:rFonts w:ascii="Calibri" w:eastAsia="Times New Roman" w:hAnsi="Calibri" w:cs="Calibri"/>
                <w:color w:val="000000"/>
                <w:lang w:eastAsia="en-IE"/>
              </w:rPr>
              <w:t>1</w:t>
            </w:r>
          </w:p>
        </w:tc>
        <w:tc>
          <w:tcPr>
            <w:tcW w:w="1301" w:type="dxa"/>
            <w:noWrap/>
            <w:hideMark/>
          </w:tcPr>
          <w:p w14:paraId="361543BB" w14:textId="77777777" w:rsidR="007B7B37" w:rsidRPr="00951E9C" w:rsidRDefault="007B7B37" w:rsidP="000B1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14</w:t>
            </w:r>
          </w:p>
        </w:tc>
        <w:tc>
          <w:tcPr>
            <w:tcW w:w="1537" w:type="dxa"/>
            <w:noWrap/>
            <w:hideMark/>
          </w:tcPr>
          <w:p w14:paraId="68D43B31" w14:textId="77777777" w:rsidR="007B7B37" w:rsidRPr="00951E9C" w:rsidRDefault="007B7B37" w:rsidP="000B1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7</w:t>
            </w:r>
          </w:p>
        </w:tc>
      </w:tr>
      <w:tr w:rsidR="007B7B37" w:rsidRPr="00951E9C" w14:paraId="72345DA8" w14:textId="77777777" w:rsidTr="000B1452">
        <w:trPr>
          <w:trHeight w:val="506"/>
        </w:trPr>
        <w:tc>
          <w:tcPr>
            <w:cnfStyle w:val="001000000000" w:firstRow="0" w:lastRow="0" w:firstColumn="1" w:lastColumn="0" w:oddVBand="0" w:evenVBand="0" w:oddHBand="0" w:evenHBand="0" w:firstRowFirstColumn="0" w:firstRowLastColumn="0" w:lastRowFirstColumn="0" w:lastRowLastColumn="0"/>
            <w:tcW w:w="1301" w:type="dxa"/>
            <w:noWrap/>
            <w:hideMark/>
          </w:tcPr>
          <w:p w14:paraId="76D823E2" w14:textId="77777777" w:rsidR="007B7B37" w:rsidRPr="00951E9C" w:rsidRDefault="007B7B37" w:rsidP="000B1452">
            <w:pPr>
              <w:jc w:val="right"/>
              <w:rPr>
                <w:rFonts w:ascii="Calibri" w:eastAsia="Times New Roman" w:hAnsi="Calibri" w:cs="Calibri"/>
                <w:color w:val="000000"/>
                <w:lang w:eastAsia="en-IE"/>
              </w:rPr>
            </w:pPr>
            <w:r w:rsidRPr="00951E9C">
              <w:rPr>
                <w:rFonts w:ascii="Calibri" w:eastAsia="Times New Roman" w:hAnsi="Calibri" w:cs="Calibri"/>
                <w:color w:val="000000"/>
                <w:lang w:eastAsia="en-IE"/>
              </w:rPr>
              <w:t>2</w:t>
            </w:r>
          </w:p>
        </w:tc>
        <w:tc>
          <w:tcPr>
            <w:tcW w:w="1301" w:type="dxa"/>
            <w:noWrap/>
            <w:hideMark/>
          </w:tcPr>
          <w:p w14:paraId="5CE5796E" w14:textId="77777777" w:rsidR="007B7B37" w:rsidRPr="00951E9C" w:rsidRDefault="007B7B37" w:rsidP="000B14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25</w:t>
            </w:r>
          </w:p>
        </w:tc>
        <w:tc>
          <w:tcPr>
            <w:tcW w:w="1537" w:type="dxa"/>
            <w:noWrap/>
            <w:hideMark/>
          </w:tcPr>
          <w:p w14:paraId="6A705331" w14:textId="77777777" w:rsidR="007B7B37" w:rsidRPr="00951E9C" w:rsidRDefault="007B7B37" w:rsidP="000B145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9</w:t>
            </w:r>
          </w:p>
        </w:tc>
      </w:tr>
      <w:tr w:rsidR="007B7B37" w:rsidRPr="00951E9C" w14:paraId="5D997033" w14:textId="77777777" w:rsidTr="000B145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01" w:type="dxa"/>
            <w:noWrap/>
            <w:hideMark/>
          </w:tcPr>
          <w:p w14:paraId="5DF9F495" w14:textId="77777777" w:rsidR="007B7B37" w:rsidRPr="00951E9C" w:rsidRDefault="007B7B37" w:rsidP="000B1452">
            <w:pPr>
              <w:jc w:val="right"/>
              <w:rPr>
                <w:rFonts w:ascii="Calibri" w:eastAsia="Times New Roman" w:hAnsi="Calibri" w:cs="Calibri"/>
                <w:color w:val="000000"/>
                <w:lang w:eastAsia="en-IE"/>
              </w:rPr>
            </w:pPr>
            <w:r w:rsidRPr="00951E9C">
              <w:rPr>
                <w:rFonts w:ascii="Calibri" w:eastAsia="Times New Roman" w:hAnsi="Calibri" w:cs="Calibri"/>
                <w:color w:val="000000"/>
                <w:lang w:eastAsia="en-IE"/>
              </w:rPr>
              <w:t>3</w:t>
            </w:r>
          </w:p>
        </w:tc>
        <w:tc>
          <w:tcPr>
            <w:tcW w:w="1301" w:type="dxa"/>
            <w:noWrap/>
            <w:hideMark/>
          </w:tcPr>
          <w:p w14:paraId="5928F063" w14:textId="77777777" w:rsidR="007B7B37" w:rsidRPr="00951E9C" w:rsidRDefault="007B7B37" w:rsidP="000B1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33</w:t>
            </w:r>
          </w:p>
        </w:tc>
        <w:tc>
          <w:tcPr>
            <w:tcW w:w="1537" w:type="dxa"/>
            <w:noWrap/>
            <w:hideMark/>
          </w:tcPr>
          <w:p w14:paraId="129AF443" w14:textId="77777777" w:rsidR="007B7B37" w:rsidRPr="00951E9C" w:rsidRDefault="007B7B37" w:rsidP="000B145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IE"/>
              </w:rPr>
            </w:pPr>
            <w:r w:rsidRPr="00951E9C">
              <w:rPr>
                <w:rFonts w:ascii="Calibri" w:eastAsia="Times New Roman" w:hAnsi="Calibri" w:cs="Calibri"/>
                <w:color w:val="000000"/>
                <w:lang w:eastAsia="en-IE"/>
              </w:rPr>
              <w:t>6</w:t>
            </w:r>
          </w:p>
        </w:tc>
      </w:tr>
    </w:tbl>
    <w:p w14:paraId="1D887427" w14:textId="406914DB" w:rsidR="00E72D47" w:rsidRDefault="001F0A6C" w:rsidP="008C7DFF">
      <w:pPr>
        <w:jc w:val="both"/>
        <w:rPr>
          <w:noProof/>
        </w:rPr>
      </w:pPr>
      <w:r>
        <w:rPr>
          <w:noProof/>
        </w:rPr>
        <w:t xml:space="preserve">The number of patients who had </w:t>
      </w:r>
      <w:r w:rsidR="00951E9C">
        <w:rPr>
          <w:noProof/>
        </w:rPr>
        <w:t xml:space="preserve">no hypernasality, </w:t>
      </w:r>
      <w:r w:rsidR="00126BCE">
        <w:rPr>
          <w:noProof/>
        </w:rPr>
        <w:t xml:space="preserve">inconsistent hypernasality, </w:t>
      </w:r>
      <w:r w:rsidR="00951E9C">
        <w:rPr>
          <w:noProof/>
        </w:rPr>
        <w:t xml:space="preserve">mild hypernasality, moderate hypernasality and severe hypernasality are illustrated in table 4 and figure </w:t>
      </w:r>
      <w:r w:rsidR="006B296C">
        <w:rPr>
          <w:noProof/>
        </w:rPr>
        <w:t>5</w:t>
      </w:r>
      <w:r w:rsidR="00951E9C">
        <w:rPr>
          <w:noProof/>
        </w:rPr>
        <w:t>, whilst the comparative percentages are demonstrated</w:t>
      </w:r>
      <w:r w:rsidR="009D7291">
        <w:rPr>
          <w:noProof/>
        </w:rPr>
        <w:t xml:space="preserve"> visually</w:t>
      </w:r>
      <w:r w:rsidR="00951E9C">
        <w:rPr>
          <w:noProof/>
        </w:rPr>
        <w:t xml:space="preserve"> in figure </w:t>
      </w:r>
      <w:r w:rsidR="006B296C">
        <w:rPr>
          <w:noProof/>
        </w:rPr>
        <w:t>6</w:t>
      </w:r>
      <w:r w:rsidR="00951E9C">
        <w:rPr>
          <w:noProof/>
        </w:rPr>
        <w:t xml:space="preserve">. </w:t>
      </w:r>
      <w:r w:rsidR="00050CBB">
        <w:rPr>
          <w:noProof/>
        </w:rPr>
        <w:t xml:space="preserve">These figures demonstrate that the preoperative hypernasality scores show a greater degree of severity than those recorded postoperatively. </w:t>
      </w:r>
      <w:r w:rsidR="000B1452">
        <w:rPr>
          <w:noProof/>
        </w:rPr>
        <w:t xml:space="preserve">In addition, almost 60% patients had no recorded hypernasality postoperatively. In total, 83.34% of patients had a hypernasality score of 1 or less following CPR-R surgery.  </w:t>
      </w:r>
    </w:p>
    <w:p w14:paraId="3C61BD45" w14:textId="1DDC420C" w:rsidR="000B1452" w:rsidRDefault="000B1452" w:rsidP="008C7DFF">
      <w:pPr>
        <w:jc w:val="both"/>
        <w:rPr>
          <w:noProof/>
        </w:rPr>
      </w:pPr>
      <w:r>
        <w:rPr>
          <w:noProof/>
        </w:rPr>
        <w:drawing>
          <wp:anchor distT="0" distB="0" distL="114300" distR="114300" simplePos="0" relativeHeight="251666432" behindDoc="0" locked="0" layoutInCell="1" allowOverlap="1" wp14:anchorId="5A86C454" wp14:editId="18A14F4D">
            <wp:simplePos x="0" y="0"/>
            <wp:positionH relativeFrom="margin">
              <wp:posOffset>2686519</wp:posOffset>
            </wp:positionH>
            <wp:positionV relativeFrom="paragraph">
              <wp:posOffset>162339</wp:posOffset>
            </wp:positionV>
            <wp:extent cx="3288665" cy="1995170"/>
            <wp:effectExtent l="0" t="0" r="6985" b="5080"/>
            <wp:wrapNone/>
            <wp:docPr id="5" name="Chart 5">
              <a:extLst xmlns:a="http://schemas.openxmlformats.org/drawingml/2006/main">
                <a:ext uri="{FF2B5EF4-FFF2-40B4-BE49-F238E27FC236}">
                  <a16:creationId xmlns:a16="http://schemas.microsoft.com/office/drawing/2014/main" id="{4DA90A15-B65C-441F-BB88-4CF58D306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A523B3F" w14:textId="6690B89A" w:rsidR="00951E9C" w:rsidRDefault="00951E9C" w:rsidP="008C7DFF">
      <w:pPr>
        <w:jc w:val="both"/>
        <w:rPr>
          <w:noProof/>
        </w:rPr>
      </w:pPr>
      <w:r>
        <w:rPr>
          <w:noProof/>
        </w:rPr>
        <w:t xml:space="preserve"> </w:t>
      </w:r>
    </w:p>
    <w:p w14:paraId="4BE454E1" w14:textId="6614C51C" w:rsidR="007B7B37" w:rsidRDefault="007B7B37" w:rsidP="008C7DFF">
      <w:pPr>
        <w:jc w:val="both"/>
        <w:rPr>
          <w:noProof/>
        </w:rPr>
      </w:pPr>
    </w:p>
    <w:p w14:paraId="45DAC28D" w14:textId="77777777" w:rsidR="007B7B37" w:rsidRDefault="007B7B37" w:rsidP="008C7DFF">
      <w:pPr>
        <w:jc w:val="both"/>
        <w:rPr>
          <w:noProof/>
        </w:rPr>
      </w:pPr>
    </w:p>
    <w:p w14:paraId="3A204839" w14:textId="7D9378C9" w:rsidR="007B7B37" w:rsidRDefault="007B7B37" w:rsidP="008C7DFF">
      <w:pPr>
        <w:jc w:val="both"/>
        <w:rPr>
          <w:noProof/>
        </w:rPr>
      </w:pPr>
    </w:p>
    <w:p w14:paraId="4D9EDB48" w14:textId="624F48A6" w:rsidR="007B7B37" w:rsidRDefault="007B7B37" w:rsidP="008C7DFF">
      <w:pPr>
        <w:jc w:val="both"/>
        <w:rPr>
          <w:noProof/>
        </w:rPr>
      </w:pPr>
    </w:p>
    <w:p w14:paraId="16A2ECF0" w14:textId="0368647F" w:rsidR="007B7B37" w:rsidRDefault="007B7B37" w:rsidP="008C7DFF">
      <w:pPr>
        <w:jc w:val="both"/>
        <w:rPr>
          <w:noProof/>
        </w:rPr>
      </w:pPr>
    </w:p>
    <w:p w14:paraId="2DE4F70B" w14:textId="77777777" w:rsidR="007B7B37" w:rsidRDefault="007B7B37" w:rsidP="008C7DFF">
      <w:pPr>
        <w:jc w:val="both"/>
        <w:rPr>
          <w:noProof/>
        </w:rPr>
      </w:pPr>
    </w:p>
    <w:p w14:paraId="3D9266E9" w14:textId="758CD65F" w:rsidR="00DA2FE1" w:rsidRDefault="00951E9C" w:rsidP="00E72D47">
      <w:pPr>
        <w:pStyle w:val="Subtitle"/>
        <w:rPr>
          <w:noProof/>
        </w:rPr>
      </w:pPr>
      <w:r>
        <w:rPr>
          <w:noProof/>
        </w:rPr>
        <w:t>Table 4</w:t>
      </w:r>
      <w:r w:rsidR="007B7B37">
        <w:rPr>
          <w:noProof/>
        </w:rPr>
        <w:t xml:space="preserve"> - </w:t>
      </w:r>
      <w:r>
        <w:rPr>
          <w:noProof/>
        </w:rPr>
        <w:t xml:space="preserve"> </w:t>
      </w:r>
      <w:r w:rsidR="00EC1C60">
        <w:rPr>
          <w:noProof/>
        </w:rPr>
        <w:t>P</w:t>
      </w:r>
      <w:r>
        <w:rPr>
          <w:noProof/>
        </w:rPr>
        <w:t>reoperative and postoperative hypernasality scores, by number of patients</w:t>
      </w:r>
    </w:p>
    <w:p w14:paraId="2481C78E" w14:textId="78458CA0" w:rsidR="000F5E23" w:rsidRDefault="00D16625" w:rsidP="000F5E23">
      <w:pPr>
        <w:pStyle w:val="Subtitle"/>
        <w:rPr>
          <w:lang w:eastAsia="en-IE"/>
        </w:rPr>
      </w:pPr>
      <w:r>
        <w:rPr>
          <w:lang w:eastAsia="en-IE"/>
        </w:rPr>
        <w:t xml:space="preserve">Figure </w:t>
      </w:r>
      <w:r w:rsidR="006B296C">
        <w:rPr>
          <w:lang w:eastAsia="en-IE"/>
        </w:rPr>
        <w:t>5</w:t>
      </w:r>
      <w:r>
        <w:rPr>
          <w:lang w:eastAsia="en-IE"/>
        </w:rPr>
        <w:t xml:space="preserve"> – </w:t>
      </w:r>
      <w:r w:rsidR="00EC1C60">
        <w:rPr>
          <w:lang w:eastAsia="en-IE"/>
        </w:rPr>
        <w:t>P</w:t>
      </w:r>
      <w:r>
        <w:rPr>
          <w:lang w:eastAsia="en-IE"/>
        </w:rPr>
        <w:t>reoperative and postoperative hypernasality scores, by number of patients</w:t>
      </w:r>
    </w:p>
    <w:p w14:paraId="2A3DE509" w14:textId="23886635" w:rsidR="000F5E23" w:rsidRDefault="000F5E23" w:rsidP="000F5E23">
      <w:pPr>
        <w:rPr>
          <w:lang w:eastAsia="en-IE"/>
        </w:rPr>
      </w:pPr>
    </w:p>
    <w:p w14:paraId="47AF49C4" w14:textId="2F6D2855" w:rsidR="000F5E23" w:rsidRDefault="000F5E23" w:rsidP="000F5E23">
      <w:pPr>
        <w:pStyle w:val="Subtitle"/>
        <w:rPr>
          <w:lang w:eastAsia="en-IE"/>
        </w:rPr>
      </w:pPr>
      <w:r>
        <w:rPr>
          <w:lang w:eastAsia="en-IE"/>
        </w:rPr>
        <w:lastRenderedPageBreak/>
        <w:t xml:space="preserve">Figure </w:t>
      </w:r>
      <w:r w:rsidR="006B296C">
        <w:rPr>
          <w:lang w:eastAsia="en-IE"/>
        </w:rPr>
        <w:t>6</w:t>
      </w:r>
      <w:r>
        <w:rPr>
          <w:lang w:eastAsia="en-IE"/>
        </w:rPr>
        <w:t xml:space="preserve"> – The percentage change of preoperative hypernasality when compared with postoperative hypernasality</w:t>
      </w:r>
      <w:r w:rsidR="007B7B37" w:rsidRPr="000F5E23">
        <w:rPr>
          <w:noProof/>
        </w:rPr>
        <w:drawing>
          <wp:anchor distT="0" distB="0" distL="114300" distR="114300" simplePos="0" relativeHeight="251667456" behindDoc="0" locked="0" layoutInCell="1" allowOverlap="1" wp14:anchorId="265CD50B" wp14:editId="66C774DC">
            <wp:simplePos x="0" y="0"/>
            <wp:positionH relativeFrom="margin">
              <wp:align>left</wp:align>
            </wp:positionH>
            <wp:positionV relativeFrom="paragraph">
              <wp:posOffset>0</wp:posOffset>
            </wp:positionV>
            <wp:extent cx="2844800" cy="2235200"/>
            <wp:effectExtent l="0" t="0" r="12700" b="12700"/>
            <wp:wrapTopAndBottom/>
            <wp:docPr id="6" name="Chart 6">
              <a:extLst xmlns:a="http://schemas.openxmlformats.org/drawingml/2006/main">
                <a:ext uri="{FF2B5EF4-FFF2-40B4-BE49-F238E27FC236}">
                  <a16:creationId xmlns:a16="http://schemas.microsoft.com/office/drawing/2014/main" id="{89CEAFD2-1FAD-46FF-AEB6-034BB5AE8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7B7B37" w:rsidRPr="000F5E23">
        <w:rPr>
          <w:noProof/>
        </w:rPr>
        <w:drawing>
          <wp:anchor distT="0" distB="0" distL="114300" distR="114300" simplePos="0" relativeHeight="251668480" behindDoc="0" locked="0" layoutInCell="1" allowOverlap="1" wp14:anchorId="420BFCEB" wp14:editId="7343C767">
            <wp:simplePos x="0" y="0"/>
            <wp:positionH relativeFrom="margin">
              <wp:align>right</wp:align>
            </wp:positionH>
            <wp:positionV relativeFrom="paragraph">
              <wp:posOffset>0</wp:posOffset>
            </wp:positionV>
            <wp:extent cx="2844000" cy="2235600"/>
            <wp:effectExtent l="0" t="0" r="13970" b="12700"/>
            <wp:wrapTopAndBottom/>
            <wp:docPr id="7" name="Chart 7">
              <a:extLst xmlns:a="http://schemas.openxmlformats.org/drawingml/2006/main">
                <a:ext uri="{FF2B5EF4-FFF2-40B4-BE49-F238E27FC236}">
                  <a16:creationId xmlns:a16="http://schemas.microsoft.com/office/drawing/2014/main" id="{A37DDA4D-38AA-4F62-BB49-B0C353E72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5497F02E" w14:textId="77777777" w:rsidR="006B296C" w:rsidRDefault="006B296C" w:rsidP="000F5E23">
      <w:pPr>
        <w:jc w:val="both"/>
        <w:rPr>
          <w:lang w:eastAsia="en-IE"/>
        </w:rPr>
      </w:pPr>
    </w:p>
    <w:p w14:paraId="48622AA0" w14:textId="3344201C" w:rsidR="00050CBB" w:rsidRDefault="00050CBB" w:rsidP="000F5E23">
      <w:pPr>
        <w:jc w:val="both"/>
        <w:rPr>
          <w:lang w:eastAsia="en-IE"/>
        </w:rPr>
      </w:pPr>
      <w:r>
        <w:rPr>
          <w:lang w:eastAsia="en-IE"/>
        </w:rPr>
        <w:t xml:space="preserve">Finally, the </w:t>
      </w:r>
      <w:r w:rsidR="000B1452">
        <w:rPr>
          <w:lang w:eastAsia="en-IE"/>
        </w:rPr>
        <w:t>preoperative</w:t>
      </w:r>
      <w:r>
        <w:rPr>
          <w:lang w:eastAsia="en-IE"/>
        </w:rPr>
        <w:t xml:space="preserve"> hypernasality </w:t>
      </w:r>
      <w:r w:rsidR="000B1452">
        <w:rPr>
          <w:lang w:eastAsia="en-IE"/>
        </w:rPr>
        <w:t xml:space="preserve">score was compared to the number of patients requiring further surgery in each score category. It is unsurprising that a greater proportion of patients who required further surgery had preoperative scores of 2 or 3 for hypernasality, than those who scored 1 or less. This is demonstrated in figure </w:t>
      </w:r>
      <w:r w:rsidR="006B296C">
        <w:rPr>
          <w:lang w:eastAsia="en-IE"/>
        </w:rPr>
        <w:t>7</w:t>
      </w:r>
      <w:r w:rsidR="000B1452">
        <w:rPr>
          <w:lang w:eastAsia="en-IE"/>
        </w:rPr>
        <w:t>, which demonstrates that the higher the score for hypernasality, the greater the number of patients who later required further surgical intervention.</w:t>
      </w:r>
    </w:p>
    <w:p w14:paraId="5DB3421A" w14:textId="77777777" w:rsidR="00361B89" w:rsidRDefault="00361B89" w:rsidP="000B1452">
      <w:pPr>
        <w:jc w:val="both"/>
        <w:rPr>
          <w:lang w:eastAsia="en-IE"/>
        </w:rPr>
      </w:pPr>
    </w:p>
    <w:p w14:paraId="572F9B5E" w14:textId="1AFBC186" w:rsidR="000B1452" w:rsidRDefault="000B1452" w:rsidP="000B1452">
      <w:pPr>
        <w:jc w:val="both"/>
        <w:rPr>
          <w:lang w:eastAsia="en-IE"/>
        </w:rPr>
      </w:pPr>
      <w:r>
        <w:rPr>
          <w:noProof/>
        </w:rPr>
        <w:drawing>
          <wp:inline distT="0" distB="0" distL="0" distR="0" wp14:anchorId="473BFFE8" wp14:editId="5F6AE807">
            <wp:extent cx="5494351" cy="2234317"/>
            <wp:effectExtent l="0" t="0" r="11430" b="13970"/>
            <wp:docPr id="9" name="Chart 9">
              <a:extLst xmlns:a="http://schemas.openxmlformats.org/drawingml/2006/main">
                <a:ext uri="{FF2B5EF4-FFF2-40B4-BE49-F238E27FC236}">
                  <a16:creationId xmlns:a16="http://schemas.microsoft.com/office/drawing/2014/main" id="{0FCFBA1E-78C2-4841-8C7F-ECE601C2A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3D79FA" w14:textId="2B2DEF94" w:rsidR="00A203A7" w:rsidRDefault="000B1452" w:rsidP="006B296C">
      <w:pPr>
        <w:pStyle w:val="Subtitle"/>
        <w:rPr>
          <w:lang w:eastAsia="en-IE"/>
        </w:rPr>
      </w:pPr>
      <w:r>
        <w:rPr>
          <w:lang w:eastAsia="en-IE"/>
        </w:rPr>
        <w:t xml:space="preserve">Figure </w:t>
      </w:r>
      <w:r w:rsidR="006B296C">
        <w:rPr>
          <w:lang w:eastAsia="en-IE"/>
        </w:rPr>
        <w:t>7</w:t>
      </w:r>
      <w:r>
        <w:rPr>
          <w:lang w:eastAsia="en-IE"/>
        </w:rPr>
        <w:t xml:space="preserve"> – </w:t>
      </w:r>
      <w:r w:rsidR="00EC1C60">
        <w:rPr>
          <w:lang w:eastAsia="en-IE"/>
        </w:rPr>
        <w:t>T</w:t>
      </w:r>
      <w:r>
        <w:rPr>
          <w:lang w:eastAsia="en-IE"/>
        </w:rPr>
        <w:t>he breakdown of severity of hypernasality versus the need for further surgery</w:t>
      </w:r>
    </w:p>
    <w:p w14:paraId="0F129C59" w14:textId="1E0F6BA6" w:rsidR="00526281" w:rsidRDefault="00526281" w:rsidP="00526281">
      <w:pPr>
        <w:pStyle w:val="Heading2"/>
        <w:rPr>
          <w:lang w:eastAsia="en-IE"/>
        </w:rPr>
      </w:pPr>
      <w:bookmarkStart w:id="13" w:name="_Toc129708557"/>
      <w:proofErr w:type="spellStart"/>
      <w:r>
        <w:rPr>
          <w:lang w:eastAsia="en-IE"/>
        </w:rPr>
        <w:t>Hyponasality</w:t>
      </w:r>
      <w:bookmarkEnd w:id="13"/>
      <w:proofErr w:type="spellEnd"/>
    </w:p>
    <w:p w14:paraId="29578784" w14:textId="0044D886" w:rsidR="008A22C7" w:rsidRDefault="008E382F" w:rsidP="00A35FE2">
      <w:pPr>
        <w:jc w:val="both"/>
        <w:rPr>
          <w:lang w:eastAsia="en-IE"/>
        </w:rPr>
      </w:pPr>
      <w:proofErr w:type="spellStart"/>
      <w:r>
        <w:rPr>
          <w:lang w:eastAsia="en-IE"/>
        </w:rPr>
        <w:t>Hyponasality</w:t>
      </w:r>
      <w:proofErr w:type="spellEnd"/>
      <w:r>
        <w:rPr>
          <w:lang w:eastAsia="en-IE"/>
        </w:rPr>
        <w:t xml:space="preserve"> parameters were graded on the GOS.SP.ASS score as </w:t>
      </w:r>
      <w:r w:rsidR="000B1452">
        <w:rPr>
          <w:lang w:eastAsia="en-IE"/>
        </w:rPr>
        <w:t xml:space="preserve">absent, </w:t>
      </w:r>
      <w:r>
        <w:rPr>
          <w:lang w:eastAsia="en-IE"/>
        </w:rPr>
        <w:t xml:space="preserve">mild, </w:t>
      </w:r>
      <w:proofErr w:type="gramStart"/>
      <w:r>
        <w:rPr>
          <w:lang w:eastAsia="en-IE"/>
        </w:rPr>
        <w:t>moderate</w:t>
      </w:r>
      <w:proofErr w:type="gramEnd"/>
      <w:r>
        <w:rPr>
          <w:lang w:eastAsia="en-IE"/>
        </w:rPr>
        <w:t xml:space="preserve"> or severe in a similar manner to those </w:t>
      </w:r>
      <w:r w:rsidR="00126BCE">
        <w:rPr>
          <w:lang w:eastAsia="en-IE"/>
        </w:rPr>
        <w:t>of hypernasality</w:t>
      </w:r>
      <w:r w:rsidR="000B1452">
        <w:rPr>
          <w:lang w:eastAsia="en-IE"/>
        </w:rPr>
        <w:t xml:space="preserve"> (scoring 0, 1, 2 or 3). </w:t>
      </w:r>
      <w:r w:rsidR="0001425C">
        <w:rPr>
          <w:lang w:eastAsia="en-IE"/>
        </w:rPr>
        <w:t xml:space="preserve">On evaluation of </w:t>
      </w:r>
      <w:proofErr w:type="spellStart"/>
      <w:r w:rsidR="0001425C">
        <w:rPr>
          <w:lang w:eastAsia="en-IE"/>
        </w:rPr>
        <w:t>hyponasality</w:t>
      </w:r>
      <w:proofErr w:type="spellEnd"/>
      <w:r w:rsidR="0001425C">
        <w:rPr>
          <w:lang w:eastAsia="en-IE"/>
        </w:rPr>
        <w:t xml:space="preserve"> data using a Wilcoxon signed-rank test, the changes were not statistically significant (p = 0.0703). </w:t>
      </w:r>
      <w:r w:rsidR="00A35FE2">
        <w:rPr>
          <w:lang w:eastAsia="en-IE"/>
        </w:rPr>
        <w:t xml:space="preserve">It is interesting to note that in some cases, CPR-R resulted in a higher postoperative </w:t>
      </w:r>
      <w:proofErr w:type="spellStart"/>
      <w:r w:rsidR="00A35FE2">
        <w:rPr>
          <w:lang w:eastAsia="en-IE"/>
        </w:rPr>
        <w:t>hyp</w:t>
      </w:r>
      <w:r w:rsidR="00596955">
        <w:rPr>
          <w:lang w:eastAsia="en-IE"/>
        </w:rPr>
        <w:t>o</w:t>
      </w:r>
      <w:r w:rsidR="00A35FE2">
        <w:rPr>
          <w:lang w:eastAsia="en-IE"/>
        </w:rPr>
        <w:t>nasality</w:t>
      </w:r>
      <w:proofErr w:type="spellEnd"/>
      <w:r w:rsidR="00A35FE2">
        <w:rPr>
          <w:lang w:eastAsia="en-IE"/>
        </w:rPr>
        <w:t xml:space="preserve"> score than preoperatively. Of 93 patients where </w:t>
      </w:r>
      <w:proofErr w:type="spellStart"/>
      <w:r w:rsidR="00A35FE2">
        <w:rPr>
          <w:lang w:eastAsia="en-IE"/>
        </w:rPr>
        <w:t>hyponasality</w:t>
      </w:r>
      <w:proofErr w:type="spellEnd"/>
      <w:r w:rsidR="00A35FE2">
        <w:rPr>
          <w:lang w:eastAsia="en-IE"/>
        </w:rPr>
        <w:t xml:space="preserve"> scores were available, 15 patients </w:t>
      </w:r>
      <w:r w:rsidR="00CC266F">
        <w:rPr>
          <w:lang w:eastAsia="en-IE"/>
        </w:rPr>
        <w:t xml:space="preserve">(16.1%) </w:t>
      </w:r>
      <w:r w:rsidR="00A35FE2">
        <w:rPr>
          <w:lang w:eastAsia="en-IE"/>
        </w:rPr>
        <w:t xml:space="preserve">appeared to have a worse </w:t>
      </w:r>
      <w:proofErr w:type="spellStart"/>
      <w:r w:rsidR="00A35FE2">
        <w:rPr>
          <w:lang w:eastAsia="en-IE"/>
        </w:rPr>
        <w:t>hyponasality</w:t>
      </w:r>
      <w:proofErr w:type="spellEnd"/>
      <w:r w:rsidR="00A35FE2">
        <w:rPr>
          <w:lang w:eastAsia="en-IE"/>
        </w:rPr>
        <w:t xml:space="preserve"> score postoperatively. However, it is worth noting that of these, 12 patients had moderate or severe preoperative hypernasality scores. These 12 patients all saw improvement in their hypernasality scores</w:t>
      </w:r>
      <w:r w:rsidR="00504BAC">
        <w:rPr>
          <w:lang w:eastAsia="en-IE"/>
        </w:rPr>
        <w:t xml:space="preserve"> following CPR-R</w:t>
      </w:r>
      <w:r w:rsidR="009D3028">
        <w:rPr>
          <w:lang w:eastAsia="en-IE"/>
        </w:rPr>
        <w:t xml:space="preserve">. </w:t>
      </w:r>
    </w:p>
    <w:p w14:paraId="162A7CB4" w14:textId="3D99DBE7" w:rsidR="008A22C7" w:rsidRPr="008A22C7" w:rsidRDefault="000B1452" w:rsidP="009D3028">
      <w:pPr>
        <w:jc w:val="center"/>
        <w:rPr>
          <w:lang w:eastAsia="en-IE"/>
        </w:rPr>
      </w:pPr>
      <w:r>
        <w:rPr>
          <w:noProof/>
        </w:rPr>
        <w:lastRenderedPageBreak/>
        <w:drawing>
          <wp:inline distT="0" distB="0" distL="0" distR="0" wp14:anchorId="0345B10A" wp14:editId="712A89EB">
            <wp:extent cx="2194560" cy="33156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11" t="29847" r="63791" b="15157"/>
                    <a:stretch/>
                  </pic:blipFill>
                  <pic:spPr bwMode="auto">
                    <a:xfrm>
                      <a:off x="0" y="0"/>
                      <a:ext cx="2216575" cy="3348917"/>
                    </a:xfrm>
                    <a:prstGeom prst="rect">
                      <a:avLst/>
                    </a:prstGeom>
                    <a:ln>
                      <a:noFill/>
                    </a:ln>
                    <a:extLst>
                      <a:ext uri="{53640926-AAD7-44D8-BBD7-CCE9431645EC}">
                        <a14:shadowObscured xmlns:a14="http://schemas.microsoft.com/office/drawing/2010/main"/>
                      </a:ext>
                    </a:extLst>
                  </pic:spPr>
                </pic:pic>
              </a:graphicData>
            </a:graphic>
          </wp:inline>
        </w:drawing>
      </w:r>
    </w:p>
    <w:p w14:paraId="0EEA16D5" w14:textId="07F9EC05" w:rsidR="00140CA1" w:rsidRPr="008A22C7" w:rsidRDefault="009D3028" w:rsidP="006B296C">
      <w:pPr>
        <w:pStyle w:val="Subtitle"/>
        <w:rPr>
          <w:lang w:eastAsia="en-IE"/>
        </w:rPr>
      </w:pPr>
      <w:r>
        <w:rPr>
          <w:lang w:eastAsia="en-IE"/>
        </w:rPr>
        <w:t xml:space="preserve">Figure </w:t>
      </w:r>
      <w:r w:rsidR="006B296C">
        <w:rPr>
          <w:lang w:eastAsia="en-IE"/>
        </w:rPr>
        <w:t>8</w:t>
      </w:r>
      <w:r>
        <w:rPr>
          <w:lang w:eastAsia="en-IE"/>
        </w:rPr>
        <w:t xml:space="preserve"> -</w:t>
      </w:r>
      <w:r>
        <w:rPr>
          <w:noProof/>
        </w:rPr>
        <w:t xml:space="preserve"> Preoperative, postoperative and post-further surgery hyponasality scores, as demonstrated by the “traffic light” system</w:t>
      </w:r>
      <w:r w:rsidR="00E845D9">
        <w:rPr>
          <w:noProof/>
        </w:rPr>
        <w:t xml:space="preserve"> (cream = not recorded)</w:t>
      </w:r>
    </w:p>
    <w:p w14:paraId="7C6CF34B" w14:textId="33495BF0" w:rsidR="008A22C7" w:rsidRDefault="009D3028" w:rsidP="009D3028">
      <w:pPr>
        <w:pStyle w:val="Heading2"/>
        <w:rPr>
          <w:lang w:eastAsia="en-IE"/>
        </w:rPr>
      </w:pPr>
      <w:bookmarkStart w:id="14" w:name="_Toc129708558"/>
      <w:r>
        <w:rPr>
          <w:lang w:eastAsia="en-IE"/>
        </w:rPr>
        <w:t>Nasal emission</w:t>
      </w:r>
      <w:bookmarkEnd w:id="14"/>
      <w:r>
        <w:rPr>
          <w:lang w:eastAsia="en-IE"/>
        </w:rPr>
        <w:t xml:space="preserve"> </w:t>
      </w:r>
    </w:p>
    <w:p w14:paraId="2727C23B" w14:textId="41104E02" w:rsidR="00E845D9" w:rsidRDefault="009D3028" w:rsidP="00E845D9">
      <w:pPr>
        <w:jc w:val="both"/>
        <w:rPr>
          <w:noProof/>
        </w:rPr>
      </w:pPr>
      <w:r>
        <w:rPr>
          <w:lang w:eastAsia="en-IE"/>
        </w:rPr>
        <w:t xml:space="preserve">As with hypernasality and </w:t>
      </w:r>
      <w:proofErr w:type="spellStart"/>
      <w:r>
        <w:rPr>
          <w:lang w:eastAsia="en-IE"/>
        </w:rPr>
        <w:t>hyponasality</w:t>
      </w:r>
      <w:proofErr w:type="spellEnd"/>
      <w:r>
        <w:rPr>
          <w:lang w:eastAsia="en-IE"/>
        </w:rPr>
        <w:t xml:space="preserve">, nasal emission parameters were graded on the GOS.SP.ASS score as absent, mild, </w:t>
      </w:r>
      <w:proofErr w:type="gramStart"/>
      <w:r>
        <w:rPr>
          <w:lang w:eastAsia="en-IE"/>
        </w:rPr>
        <w:t>moderate</w:t>
      </w:r>
      <w:proofErr w:type="gramEnd"/>
      <w:r>
        <w:rPr>
          <w:lang w:eastAsia="en-IE"/>
        </w:rPr>
        <w:t xml:space="preserve"> or severe (scoring 0, 1, 2 or 3).</w:t>
      </w:r>
      <w:r w:rsidR="00E845D9">
        <w:rPr>
          <w:lang w:eastAsia="en-IE"/>
        </w:rPr>
        <w:t xml:space="preserve"> As a general trend, patients experienced an improvement in nasal emission following CPR-R surgery, demonstrated in figure </w:t>
      </w:r>
      <w:r w:rsidR="006B296C">
        <w:rPr>
          <w:lang w:eastAsia="en-IE"/>
        </w:rPr>
        <w:t>9</w:t>
      </w:r>
      <w:r w:rsidR="00E845D9">
        <w:rPr>
          <w:lang w:eastAsia="en-IE"/>
        </w:rPr>
        <w:t xml:space="preserve"> below. </w:t>
      </w:r>
      <w:r w:rsidR="0001425C">
        <w:rPr>
          <w:lang w:eastAsia="en-IE"/>
        </w:rPr>
        <w:t xml:space="preserve">On Wilcoxon signed-rank test statistical evaluation, changes in nasal emission scores </w:t>
      </w:r>
      <w:r w:rsidR="004466EF">
        <w:rPr>
          <w:lang w:eastAsia="en-IE"/>
        </w:rPr>
        <w:t xml:space="preserve">preoperatively and postoperatively were statistically significant (p &lt; 0.00001). </w:t>
      </w:r>
      <w:r w:rsidR="00E845D9">
        <w:rPr>
          <w:lang w:eastAsia="en-IE"/>
        </w:rPr>
        <w:t>P</w:t>
      </w:r>
      <w:r w:rsidR="007E5E57">
        <w:rPr>
          <w:lang w:eastAsia="en-IE"/>
        </w:rPr>
        <w:t>ost</w:t>
      </w:r>
      <w:r w:rsidR="00E845D9">
        <w:rPr>
          <w:lang w:eastAsia="en-IE"/>
        </w:rPr>
        <w:t xml:space="preserve">operatively, </w:t>
      </w:r>
      <w:r w:rsidR="007E5E57">
        <w:rPr>
          <w:lang w:eastAsia="en-IE"/>
        </w:rPr>
        <w:t>95.8</w:t>
      </w:r>
      <w:r w:rsidR="00E845D9">
        <w:rPr>
          <w:lang w:eastAsia="en-IE"/>
        </w:rPr>
        <w:t xml:space="preserve">% patients had a score of 1 or less for </w:t>
      </w:r>
      <w:r w:rsidR="007E5E57">
        <w:rPr>
          <w:lang w:eastAsia="en-IE"/>
        </w:rPr>
        <w:t>nasal emission</w:t>
      </w:r>
      <w:r w:rsidR="00E845D9">
        <w:rPr>
          <w:lang w:eastAsia="en-IE"/>
        </w:rPr>
        <w:t xml:space="preserve">. The percentage of patients with each score for nasal emission is demonstrated in figure </w:t>
      </w:r>
      <w:r w:rsidR="006B296C">
        <w:rPr>
          <w:lang w:eastAsia="en-IE"/>
        </w:rPr>
        <w:t>10</w:t>
      </w:r>
      <w:r w:rsidR="00E845D9">
        <w:rPr>
          <w:lang w:eastAsia="en-IE"/>
        </w:rPr>
        <w:t>.</w:t>
      </w:r>
    </w:p>
    <w:p w14:paraId="0A905233" w14:textId="5C9E1F75" w:rsidR="00E845D9" w:rsidRDefault="00E845D9" w:rsidP="00E845D9">
      <w:pPr>
        <w:jc w:val="center"/>
        <w:rPr>
          <w:noProof/>
        </w:rPr>
      </w:pPr>
      <w:r>
        <w:rPr>
          <w:noProof/>
        </w:rPr>
        <w:lastRenderedPageBreak/>
        <w:drawing>
          <wp:inline distT="0" distB="0" distL="0" distR="0" wp14:anchorId="529D8FA9" wp14:editId="4EBE5920">
            <wp:extent cx="2130082" cy="3371353"/>
            <wp:effectExtent l="0" t="0" r="381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758" t="30090" r="38955" b="15640"/>
                    <a:stretch/>
                  </pic:blipFill>
                  <pic:spPr bwMode="auto">
                    <a:xfrm>
                      <a:off x="0" y="0"/>
                      <a:ext cx="2175841" cy="3443778"/>
                    </a:xfrm>
                    <a:prstGeom prst="rect">
                      <a:avLst/>
                    </a:prstGeom>
                    <a:ln>
                      <a:noFill/>
                    </a:ln>
                    <a:extLst>
                      <a:ext uri="{53640926-AAD7-44D8-BBD7-CCE9431645EC}">
                        <a14:shadowObscured xmlns:a14="http://schemas.microsoft.com/office/drawing/2010/main"/>
                      </a:ext>
                    </a:extLst>
                  </pic:spPr>
                </pic:pic>
              </a:graphicData>
            </a:graphic>
          </wp:inline>
        </w:drawing>
      </w:r>
    </w:p>
    <w:p w14:paraId="23BECAD0" w14:textId="467DB932" w:rsidR="000F5E23" w:rsidRDefault="00E845D9" w:rsidP="000F5E23">
      <w:pPr>
        <w:pStyle w:val="Subtitle"/>
        <w:rPr>
          <w:noProof/>
        </w:rPr>
      </w:pPr>
      <w:r>
        <w:rPr>
          <w:lang w:eastAsia="en-IE"/>
        </w:rPr>
        <w:t xml:space="preserve">Figure </w:t>
      </w:r>
      <w:r w:rsidR="006B296C">
        <w:rPr>
          <w:lang w:eastAsia="en-IE"/>
        </w:rPr>
        <w:t>9</w:t>
      </w:r>
      <w:r>
        <w:rPr>
          <w:lang w:eastAsia="en-IE"/>
        </w:rPr>
        <w:t xml:space="preserve"> -</w:t>
      </w:r>
      <w:r>
        <w:rPr>
          <w:noProof/>
        </w:rPr>
        <w:t xml:space="preserve"> Preoperative, postoperative and post-further surgery </w:t>
      </w:r>
      <w:r w:rsidR="00EC1C60">
        <w:rPr>
          <w:noProof/>
        </w:rPr>
        <w:t>nasal emission</w:t>
      </w:r>
      <w:r>
        <w:rPr>
          <w:noProof/>
        </w:rPr>
        <w:t xml:space="preserve"> scores, as demonstrated by the “traffic light” system (cream = not recorded)</w:t>
      </w:r>
    </w:p>
    <w:p w14:paraId="24790F95" w14:textId="2B0654C5" w:rsidR="000F5E23" w:rsidRDefault="000F5E23" w:rsidP="000F5E23">
      <w:pPr>
        <w:pStyle w:val="Subtitle"/>
        <w:jc w:val="left"/>
        <w:rPr>
          <w:noProof/>
        </w:rPr>
      </w:pPr>
      <w:r>
        <w:rPr>
          <w:noProof/>
        </w:rPr>
        <w:drawing>
          <wp:anchor distT="0" distB="0" distL="114300" distR="114300" simplePos="0" relativeHeight="251672576" behindDoc="0" locked="0" layoutInCell="1" allowOverlap="1" wp14:anchorId="06FBF1C3" wp14:editId="4AB04417">
            <wp:simplePos x="0" y="0"/>
            <wp:positionH relativeFrom="margin">
              <wp:posOffset>3045156</wp:posOffset>
            </wp:positionH>
            <wp:positionV relativeFrom="paragraph">
              <wp:posOffset>61015</wp:posOffset>
            </wp:positionV>
            <wp:extent cx="3156199" cy="2512364"/>
            <wp:effectExtent l="0" t="0" r="6350" b="2540"/>
            <wp:wrapNone/>
            <wp:docPr id="14" name="Chart 14">
              <a:extLst xmlns:a="http://schemas.openxmlformats.org/drawingml/2006/main">
                <a:ext uri="{FF2B5EF4-FFF2-40B4-BE49-F238E27FC236}">
                  <a16:creationId xmlns:a16="http://schemas.microsoft.com/office/drawing/2014/main" id="{FF7868C4-36FE-472B-942C-3F9B3AEF9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C35DA53" wp14:editId="723DDF66">
            <wp:simplePos x="0" y="0"/>
            <wp:positionH relativeFrom="margin">
              <wp:posOffset>-24130</wp:posOffset>
            </wp:positionH>
            <wp:positionV relativeFrom="paragraph">
              <wp:posOffset>68580</wp:posOffset>
            </wp:positionV>
            <wp:extent cx="2997200" cy="2520315"/>
            <wp:effectExtent l="0" t="0" r="12700" b="13335"/>
            <wp:wrapThrough wrapText="bothSides">
              <wp:wrapPolygon edited="0">
                <wp:start x="0" y="0"/>
                <wp:lineTo x="0" y="21551"/>
                <wp:lineTo x="21554" y="21551"/>
                <wp:lineTo x="21554" y="0"/>
                <wp:lineTo x="0" y="0"/>
              </wp:wrapPolygon>
            </wp:wrapThrough>
            <wp:docPr id="13" name="Chart 13">
              <a:extLst xmlns:a="http://schemas.openxmlformats.org/drawingml/2006/main">
                <a:ext uri="{FF2B5EF4-FFF2-40B4-BE49-F238E27FC236}">
                  <a16:creationId xmlns:a16="http://schemas.microsoft.com/office/drawing/2014/main" id="{ADE4A3D6-416B-41B8-8F40-86A7482ED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63234323" w14:textId="632103C1" w:rsidR="000F5E23" w:rsidRDefault="000F5E23" w:rsidP="000F5E23">
      <w:pPr>
        <w:pStyle w:val="Subtitle"/>
        <w:rPr>
          <w:noProof/>
        </w:rPr>
      </w:pPr>
    </w:p>
    <w:p w14:paraId="0499EC04" w14:textId="20001452" w:rsidR="000F5E23" w:rsidRDefault="000F5E23" w:rsidP="000F5E23"/>
    <w:p w14:paraId="3E18507A" w14:textId="006EBB33" w:rsidR="000F5E23" w:rsidRDefault="000F5E23" w:rsidP="000F5E23"/>
    <w:p w14:paraId="33103ED6" w14:textId="39057CAB" w:rsidR="000F5E23" w:rsidRDefault="000F5E23" w:rsidP="000F5E23"/>
    <w:p w14:paraId="228C78A0" w14:textId="72464550" w:rsidR="000F5E23" w:rsidRDefault="000F5E23" w:rsidP="000F5E23"/>
    <w:p w14:paraId="0CDDFDDC" w14:textId="316C0686" w:rsidR="000F5E23" w:rsidRDefault="000F5E23" w:rsidP="000F5E23"/>
    <w:p w14:paraId="18431269" w14:textId="7C966341" w:rsidR="000F5E23" w:rsidRDefault="000F5E23" w:rsidP="000F5E23"/>
    <w:p w14:paraId="306AB5B7" w14:textId="77777777" w:rsidR="000F5E23" w:rsidRPr="000F5E23" w:rsidRDefault="000F5E23" w:rsidP="000F5E23"/>
    <w:p w14:paraId="7B29B970" w14:textId="22D75547" w:rsidR="000F5E23" w:rsidRPr="000F5E23" w:rsidRDefault="000F5E23" w:rsidP="000F5E23">
      <w:pPr>
        <w:pStyle w:val="Subtitle"/>
        <w:rPr>
          <w:rStyle w:val="Heading3Char"/>
          <w:rFonts w:asciiTheme="minorHAnsi" w:eastAsiaTheme="minorEastAsia" w:hAnsiTheme="minorHAnsi" w:cstheme="minorBidi"/>
          <w:noProof/>
          <w:color w:val="C45911" w:themeColor="accent2" w:themeShade="BF"/>
          <w:sz w:val="22"/>
          <w:szCs w:val="22"/>
        </w:rPr>
      </w:pPr>
    </w:p>
    <w:p w14:paraId="53D47C76" w14:textId="612AA982" w:rsidR="000F5E23" w:rsidRDefault="000F5E23" w:rsidP="000F5E23">
      <w:pPr>
        <w:pStyle w:val="Subtitle"/>
      </w:pPr>
      <w:r>
        <w:t xml:space="preserve">Figure </w:t>
      </w:r>
      <w:r w:rsidR="006B296C">
        <w:t>10</w:t>
      </w:r>
      <w:r>
        <w:t xml:space="preserve"> – The percentage change of preoperative nasal emission when compared with postoperative nasal emission</w:t>
      </w:r>
    </w:p>
    <w:p w14:paraId="718D9EF6" w14:textId="15550EE9" w:rsidR="00140CA1" w:rsidRDefault="00140CA1" w:rsidP="000F5E23">
      <w:pPr>
        <w:pStyle w:val="Heading2"/>
      </w:pPr>
      <w:bookmarkStart w:id="15" w:name="_Toc129708559"/>
      <w:r>
        <w:t>Nasal turbulence</w:t>
      </w:r>
      <w:bookmarkEnd w:id="15"/>
    </w:p>
    <w:p w14:paraId="00246326" w14:textId="1703939F" w:rsidR="00140CA1" w:rsidRDefault="009469BE" w:rsidP="006B296C">
      <w:pPr>
        <w:jc w:val="both"/>
        <w:rPr>
          <w:lang w:eastAsia="en-IE"/>
        </w:rPr>
      </w:pPr>
      <w:r>
        <w:rPr>
          <w:lang w:eastAsia="en-IE"/>
        </w:rPr>
        <w:t xml:space="preserve">As with the other parameters above, nasal emission was also graded on the GOS.SP.ASS score as absent, mild, </w:t>
      </w:r>
      <w:proofErr w:type="gramStart"/>
      <w:r>
        <w:rPr>
          <w:lang w:eastAsia="en-IE"/>
        </w:rPr>
        <w:t>moderate</w:t>
      </w:r>
      <w:proofErr w:type="gramEnd"/>
      <w:r>
        <w:rPr>
          <w:lang w:eastAsia="en-IE"/>
        </w:rPr>
        <w:t xml:space="preserve"> or severe (scoring 0, 1, 2 or 3). Figure 1</w:t>
      </w:r>
      <w:r w:rsidR="006B296C">
        <w:rPr>
          <w:lang w:eastAsia="en-IE"/>
        </w:rPr>
        <w:t>1</w:t>
      </w:r>
      <w:r>
        <w:rPr>
          <w:lang w:eastAsia="en-IE"/>
        </w:rPr>
        <w:t xml:space="preserve"> below demonstrates that postoperatively, 100% of patients had a score of 1 or less for nasal turbulence. This is compared with the preoperative value, 78/90 (86.7%), where 6 patients did not have a preoperative score for nasal turbulence recorded. </w:t>
      </w:r>
      <w:r w:rsidR="004466EF">
        <w:rPr>
          <w:lang w:eastAsia="en-IE"/>
        </w:rPr>
        <w:t>On Wilcoxon signed-rank test evaluation of preoperative and postoperative scores, the changes were statistically significant (p = 0.0001).</w:t>
      </w:r>
    </w:p>
    <w:p w14:paraId="5E551BBE" w14:textId="75C5BE58" w:rsidR="00140CA1" w:rsidRDefault="00140CA1" w:rsidP="009469BE">
      <w:pPr>
        <w:jc w:val="center"/>
        <w:rPr>
          <w:noProof/>
        </w:rPr>
      </w:pPr>
      <w:r>
        <w:rPr>
          <w:noProof/>
        </w:rPr>
        <w:lastRenderedPageBreak/>
        <w:drawing>
          <wp:inline distT="0" distB="0" distL="0" distR="0" wp14:anchorId="3F3B4262" wp14:editId="3F3DFBCE">
            <wp:extent cx="2894275" cy="404832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122" t="30091" r="38956" b="15394"/>
                    <a:stretch/>
                  </pic:blipFill>
                  <pic:spPr bwMode="auto">
                    <a:xfrm>
                      <a:off x="0" y="0"/>
                      <a:ext cx="2908036" cy="4067569"/>
                    </a:xfrm>
                    <a:prstGeom prst="rect">
                      <a:avLst/>
                    </a:prstGeom>
                    <a:ln>
                      <a:noFill/>
                    </a:ln>
                    <a:extLst>
                      <a:ext uri="{53640926-AAD7-44D8-BBD7-CCE9431645EC}">
                        <a14:shadowObscured xmlns:a14="http://schemas.microsoft.com/office/drawing/2010/main"/>
                      </a:ext>
                    </a:extLst>
                  </pic:spPr>
                </pic:pic>
              </a:graphicData>
            </a:graphic>
          </wp:inline>
        </w:drawing>
      </w:r>
    </w:p>
    <w:p w14:paraId="69FA379D" w14:textId="09669D67" w:rsidR="00EC1C60" w:rsidRDefault="00EC1C60" w:rsidP="004466EF">
      <w:pPr>
        <w:pStyle w:val="Subtitle"/>
        <w:rPr>
          <w:noProof/>
        </w:rPr>
      </w:pPr>
      <w:r>
        <w:rPr>
          <w:noProof/>
        </w:rPr>
        <w:t>Figure 1</w:t>
      </w:r>
      <w:r w:rsidR="006B296C">
        <w:rPr>
          <w:noProof/>
        </w:rPr>
        <w:t>1</w:t>
      </w:r>
      <w:r>
        <w:rPr>
          <w:noProof/>
        </w:rPr>
        <w:t xml:space="preserve"> - Preoperative, postoperative and post-further surgery nasal turbulence scores, as demonstrated by the “traffic light” system (cream = not recorded)</w:t>
      </w:r>
    </w:p>
    <w:p w14:paraId="58843D39" w14:textId="68BE2B8D" w:rsidR="00EC1C60" w:rsidRDefault="00EC1C60" w:rsidP="00EC1C60">
      <w:pPr>
        <w:pStyle w:val="Heading2"/>
      </w:pPr>
      <w:bookmarkStart w:id="16" w:name="_Toc129708560"/>
      <w:r>
        <w:t>Presence or absence of a palatal fistula</w:t>
      </w:r>
      <w:bookmarkEnd w:id="16"/>
    </w:p>
    <w:p w14:paraId="6299B196" w14:textId="511E09D1" w:rsidR="00EC1C60" w:rsidRDefault="00EC1C60" w:rsidP="0041668D">
      <w:pPr>
        <w:jc w:val="both"/>
      </w:pPr>
      <w:r>
        <w:t xml:space="preserve">Of 102 patients, </w:t>
      </w:r>
      <w:r w:rsidR="0041668D">
        <w:t>14 were found to have a palatal fistula at the time of CPR-R surgery. Unfortunately, this outcome was not routinely measured postoperatively, thus comparison between preoperative and postoperative fistula presence could not be determined. Of those patients who did not have further surgery, 77.37% did not have a palatal fistula detected perioperatively as demonstrated in figure 1</w:t>
      </w:r>
      <w:r w:rsidR="006B296C">
        <w:t>2</w:t>
      </w:r>
      <w:r w:rsidR="0041668D">
        <w:t xml:space="preserve"> below. Similarly, figure 1</w:t>
      </w:r>
      <w:r w:rsidR="006B296C">
        <w:t>3</w:t>
      </w:r>
      <w:r w:rsidR="0041668D">
        <w:t xml:space="preserve"> shows that patients who did go on to have further surgery would appear to be more likely to have a palatal fistula noted at the time of CPR-R. </w:t>
      </w:r>
    </w:p>
    <w:p w14:paraId="27C4D465" w14:textId="69972EB9" w:rsidR="0041668D" w:rsidRDefault="0041668D" w:rsidP="00512D07">
      <w:pPr>
        <w:pStyle w:val="Subtitle"/>
      </w:pPr>
      <w:r>
        <w:rPr>
          <w:noProof/>
        </w:rPr>
        <w:drawing>
          <wp:anchor distT="0" distB="0" distL="114300" distR="114300" simplePos="0" relativeHeight="251674624" behindDoc="0" locked="0" layoutInCell="1" allowOverlap="1" wp14:anchorId="531AFEEA" wp14:editId="03B5FE76">
            <wp:simplePos x="0" y="0"/>
            <wp:positionH relativeFrom="margin">
              <wp:align>center</wp:align>
            </wp:positionH>
            <wp:positionV relativeFrom="paragraph">
              <wp:posOffset>95278</wp:posOffset>
            </wp:positionV>
            <wp:extent cx="4102735" cy="2043430"/>
            <wp:effectExtent l="0" t="0" r="12065" b="13970"/>
            <wp:wrapTopAndBottom/>
            <wp:docPr id="16" name="Chart 16">
              <a:extLst xmlns:a="http://schemas.openxmlformats.org/drawingml/2006/main">
                <a:ext uri="{FF2B5EF4-FFF2-40B4-BE49-F238E27FC236}">
                  <a16:creationId xmlns:a16="http://schemas.microsoft.com/office/drawing/2014/main" id="{5A39CD78-F8F5-4FCE-923D-9137874F2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t>Figure 1</w:t>
      </w:r>
      <w:r w:rsidR="006B296C">
        <w:t>2</w:t>
      </w:r>
      <w:r>
        <w:t xml:space="preserve"> – Presence of a fistula in those patients who did not undergo further surgery following CPR-R, by percentage</w:t>
      </w:r>
    </w:p>
    <w:p w14:paraId="48E649EF" w14:textId="3AB6BD06" w:rsidR="0041668D" w:rsidRDefault="0041668D" w:rsidP="0041668D">
      <w:r>
        <w:rPr>
          <w:noProof/>
        </w:rPr>
        <w:lastRenderedPageBreak/>
        <w:drawing>
          <wp:anchor distT="0" distB="0" distL="114300" distR="114300" simplePos="0" relativeHeight="251675648" behindDoc="0" locked="0" layoutInCell="1" allowOverlap="1" wp14:anchorId="04042D90" wp14:editId="69B0ACA8">
            <wp:simplePos x="0" y="0"/>
            <wp:positionH relativeFrom="margin">
              <wp:align>center</wp:align>
            </wp:positionH>
            <wp:positionV relativeFrom="paragraph">
              <wp:posOffset>313027</wp:posOffset>
            </wp:positionV>
            <wp:extent cx="4284980" cy="2480310"/>
            <wp:effectExtent l="0" t="0" r="1270" b="15240"/>
            <wp:wrapTopAndBottom/>
            <wp:docPr id="17" name="Chart 17">
              <a:extLst xmlns:a="http://schemas.openxmlformats.org/drawingml/2006/main">
                <a:ext uri="{FF2B5EF4-FFF2-40B4-BE49-F238E27FC236}">
                  <a16:creationId xmlns:a16="http://schemas.microsoft.com/office/drawing/2014/main" id="{ED6A2888-CE5F-484B-8099-4BEC62B0C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p>
    <w:p w14:paraId="6ECCA705" w14:textId="55CB5D15" w:rsidR="0041668D" w:rsidRDefault="0041668D" w:rsidP="00512D07">
      <w:pPr>
        <w:pStyle w:val="Subtitle"/>
      </w:pPr>
      <w:r>
        <w:t>Figure 1</w:t>
      </w:r>
      <w:r w:rsidR="006B296C">
        <w:t>3</w:t>
      </w:r>
      <w:r>
        <w:t xml:space="preserve"> – Presence of a fistula in those patients who underwent further surgery following CPR-R, by percentage</w:t>
      </w:r>
    </w:p>
    <w:p w14:paraId="02346C2B" w14:textId="30265C61" w:rsidR="0041668D" w:rsidRDefault="0041668D" w:rsidP="0041668D"/>
    <w:p w14:paraId="4AB2B5E7" w14:textId="6D8CFD37" w:rsidR="0041668D" w:rsidRDefault="00361B89" w:rsidP="00361B89">
      <w:pPr>
        <w:pStyle w:val="Heading2"/>
      </w:pPr>
      <w:bookmarkStart w:id="17" w:name="_Toc129708561"/>
      <w:r>
        <w:t>Syndromic-vs-non-syndromic</w:t>
      </w:r>
      <w:bookmarkEnd w:id="17"/>
      <w:r>
        <w:t xml:space="preserve"> </w:t>
      </w:r>
    </w:p>
    <w:p w14:paraId="0A2BDB41" w14:textId="57680DB1" w:rsidR="00A203A7" w:rsidRDefault="00A203A7" w:rsidP="00462DCA">
      <w:pPr>
        <w:jc w:val="both"/>
      </w:pPr>
      <w:r>
        <w:t xml:space="preserve">Of 102 patients included in the study, </w:t>
      </w:r>
      <w:r w:rsidR="00753DB8">
        <w:t>6</w:t>
      </w:r>
      <w:r>
        <w:t xml:space="preserve"> did not have </w:t>
      </w:r>
      <w:r w:rsidR="00753DB8">
        <w:t xml:space="preserve">presence/absence of a syndrome or Pierre Robin Sequence (PRS) recorded within their medical record. Of the remaining 96 patients, 15 (15.6%) had a recorded diagnosis of a syndrome, and 5 (5.2%) had a recorded diagnosis of PRS without the presence of another syndrome. 3 patients were recorded as having a syndrome and PRS, whilst it was recorded on the operative notes that 76 patients did not have a syndrome or PRS.  </w:t>
      </w:r>
    </w:p>
    <w:p w14:paraId="23E86F47" w14:textId="64A705B0" w:rsidR="00361B89" w:rsidRDefault="00462DCA" w:rsidP="00462DCA">
      <w:pPr>
        <w:jc w:val="both"/>
      </w:pPr>
      <w:r>
        <w:t xml:space="preserve">In terms of further surgery, none of the 5 patients with PRS only went on to have further surgery. Of those with a recorded syndrome, 5 of the 15 patients required further speech surgery within the timeframe reviewed. Although the number of syndromic patients is too small to draw a meaningful conclusion, </w:t>
      </w:r>
      <w:proofErr w:type="gramStart"/>
      <w:r>
        <w:t>it would appear that a</w:t>
      </w:r>
      <w:proofErr w:type="gramEnd"/>
      <w:r>
        <w:t xml:space="preserve"> greater proportion of syndromic patients require surgery. In fact, they comprise 27.7% of all patients who required further surgery. </w:t>
      </w:r>
      <w:r w:rsidR="004C64BD">
        <w:t>Of 87 non-syndromic patients, 13 underwent further surgery, comprising a re-operation rate of 14.9%.</w:t>
      </w:r>
    </w:p>
    <w:p w14:paraId="525450CD" w14:textId="2B111C1E" w:rsidR="00462DCA" w:rsidRDefault="00462DCA" w:rsidP="00462DCA">
      <w:pPr>
        <w:jc w:val="both"/>
      </w:pPr>
      <w:r>
        <w:t xml:space="preserve">With regards to hypernasality, </w:t>
      </w:r>
      <w:r w:rsidR="006A1FA8">
        <w:t>there was a clear improvement in hypernasality scores preoperatively as compared with postoperative scores. This is demonstrated in figure 1</w:t>
      </w:r>
      <w:r w:rsidR="006B296C">
        <w:t>4</w:t>
      </w:r>
      <w:r w:rsidR="006A1FA8">
        <w:t xml:space="preserve">, below. Of syndromic patients who underwent further surgery, all saw improvement in their GOS.SP.ASS scores in the following 12 months. </w:t>
      </w:r>
    </w:p>
    <w:p w14:paraId="007C0A16" w14:textId="3479C662" w:rsidR="006A1FA8" w:rsidRDefault="006A1FA8" w:rsidP="006A1FA8">
      <w:pPr>
        <w:jc w:val="center"/>
      </w:pPr>
      <w:r>
        <w:rPr>
          <w:noProof/>
        </w:rPr>
        <w:lastRenderedPageBreak/>
        <w:drawing>
          <wp:inline distT="0" distB="0" distL="0" distR="0" wp14:anchorId="3EBC7BC9" wp14:editId="791FA4E8">
            <wp:extent cx="3872285" cy="2242268"/>
            <wp:effectExtent l="0" t="0" r="13970" b="5715"/>
            <wp:docPr id="18" name="Chart 18">
              <a:extLst xmlns:a="http://schemas.openxmlformats.org/drawingml/2006/main">
                <a:ext uri="{FF2B5EF4-FFF2-40B4-BE49-F238E27FC236}">
                  <a16:creationId xmlns:a16="http://schemas.microsoft.com/office/drawing/2014/main" id="{9BC24839-732A-4587-A51A-4D1A1B33A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E820B0" w14:textId="3362722A" w:rsidR="006A1FA8" w:rsidRDefault="006A1FA8" w:rsidP="00512D07">
      <w:pPr>
        <w:pStyle w:val="Subtitle"/>
        <w:rPr>
          <w:lang w:eastAsia="en-IE"/>
        </w:rPr>
      </w:pPr>
      <w:r>
        <w:rPr>
          <w:lang w:eastAsia="en-IE"/>
        </w:rPr>
        <w:t>Figure 1</w:t>
      </w:r>
      <w:r w:rsidR="006B296C">
        <w:rPr>
          <w:lang w:eastAsia="en-IE"/>
        </w:rPr>
        <w:t>4</w:t>
      </w:r>
      <w:r>
        <w:rPr>
          <w:lang w:eastAsia="en-IE"/>
        </w:rPr>
        <w:t xml:space="preserve"> – Preoperative and postoperative hypernasality scores, by number of patients</w:t>
      </w:r>
    </w:p>
    <w:p w14:paraId="05D6EBC7" w14:textId="211FDEED" w:rsidR="00361B89" w:rsidRDefault="00361B89" w:rsidP="00361B89"/>
    <w:p w14:paraId="5EB7F553" w14:textId="62AAA45C" w:rsidR="00361B89" w:rsidRDefault="00A26E01" w:rsidP="00361B89">
      <w:pPr>
        <w:pStyle w:val="Heading2"/>
      </w:pPr>
      <w:bookmarkStart w:id="18" w:name="_Toc129708562"/>
      <w:r>
        <w:t>Re-operation</w:t>
      </w:r>
      <w:bookmarkEnd w:id="18"/>
    </w:p>
    <w:p w14:paraId="2EDC4A5C" w14:textId="4FCA54FE" w:rsidR="006A1FA8" w:rsidRDefault="006A1FA8" w:rsidP="006A1FA8">
      <w:pPr>
        <w:jc w:val="both"/>
      </w:pPr>
      <w:r>
        <w:t>18 patients out of 102 underwent further speech surgery following CPR-R. The mean age of patients undergoing further surgery was 5.8 years</w:t>
      </w:r>
      <w:r w:rsidR="002D2D5E">
        <w:t xml:space="preserve">, with a standard deviation of 2.5 years. The minimum and maximum ages of the patients were 2.7 years and 11.1 years respectively. The median age of patients having further surgery was 5.45 years. </w:t>
      </w:r>
    </w:p>
    <w:p w14:paraId="202B6546" w14:textId="127BBA38" w:rsidR="002D2D5E" w:rsidRDefault="002D2D5E" w:rsidP="006A1FA8">
      <w:pPr>
        <w:jc w:val="both"/>
      </w:pPr>
      <w:r>
        <w:t xml:space="preserve">With regards to the interval between surgeries, the mean time between CPR-R and subsequent operations was 37.4 months, with a median of 21.2 months. The minimum time between operations was 7.8 months, and the maximum was 100.2 months. The decision to undertake further surgery was generally informed by severity of GOS.SP.ASS scores, with scores for hypernasality predominating as the deciding factor. </w:t>
      </w:r>
      <w:r w:rsidR="00630801">
        <w:t>All p</w:t>
      </w:r>
      <w:r>
        <w:t xml:space="preserve">atients also underwent video fluoroscopy prior to further surgery </w:t>
      </w:r>
      <w:proofErr w:type="gramStart"/>
      <w:r>
        <w:t>in order to</w:t>
      </w:r>
      <w:proofErr w:type="gramEnd"/>
      <w:r>
        <w:t xml:space="preserve"> determine if they were likely to benefit from operative intervention. However, the video fluoroscopy findings were outside the scope of this review.</w:t>
      </w:r>
    </w:p>
    <w:p w14:paraId="68039996" w14:textId="615CAE32" w:rsidR="002D2D5E" w:rsidRDefault="002D2D5E" w:rsidP="006A1FA8">
      <w:pPr>
        <w:jc w:val="both"/>
        <w:rPr>
          <w:noProof/>
        </w:rPr>
      </w:pPr>
      <w:r>
        <w:rPr>
          <w:noProof/>
        </w:rPr>
        <w:t>In terms of hypernasality, as mentioned above, patients who underwent further surgery generally had worse preoperative hypernasality scores than those who did not. Figure 1</w:t>
      </w:r>
      <w:r w:rsidR="006B296C">
        <w:rPr>
          <w:noProof/>
        </w:rPr>
        <w:t>5</w:t>
      </w:r>
      <w:r>
        <w:rPr>
          <w:noProof/>
        </w:rPr>
        <w:t xml:space="preserve"> below demonstrates the sequential improvement in hypernasality scores from preoperative, postoperative and </w:t>
      </w:r>
      <w:r w:rsidR="008F7AA4">
        <w:rPr>
          <w:noProof/>
        </w:rPr>
        <w:t xml:space="preserve">further postoperative GOS.SP.ASS scores. </w:t>
      </w:r>
    </w:p>
    <w:p w14:paraId="62C885BB" w14:textId="1CC54AA0" w:rsidR="008F7AA4" w:rsidRDefault="008F7AA4" w:rsidP="006A1FA8">
      <w:pPr>
        <w:jc w:val="both"/>
        <w:rPr>
          <w:noProof/>
        </w:rPr>
      </w:pPr>
      <w:r>
        <w:rPr>
          <w:noProof/>
        </w:rPr>
        <w:t>The proportion of patients with hypernasality scores 0, 0-1, 1, 2 and 3 are demonstrated sequentially in figure 1</w:t>
      </w:r>
      <w:r w:rsidR="006B296C">
        <w:rPr>
          <w:noProof/>
        </w:rPr>
        <w:t>6</w:t>
      </w:r>
      <w:r>
        <w:rPr>
          <w:noProof/>
        </w:rPr>
        <w:t>. This demonstrates again that a larger proportion had hypernasality within normal limits following further surgery.</w:t>
      </w:r>
      <w:r w:rsidR="00276F24">
        <w:rPr>
          <w:noProof/>
        </w:rPr>
        <w:t xml:space="preserve"> Following re-operation, 50% had normal hypernasality and 77.8% had hypernasality recorded as mild or better. </w:t>
      </w:r>
    </w:p>
    <w:p w14:paraId="4772A175" w14:textId="6C05F638" w:rsidR="002D2D5E" w:rsidRDefault="002D2D5E" w:rsidP="002D2D5E">
      <w:pPr>
        <w:jc w:val="center"/>
      </w:pPr>
      <w:r>
        <w:rPr>
          <w:noProof/>
        </w:rPr>
        <w:lastRenderedPageBreak/>
        <w:drawing>
          <wp:inline distT="0" distB="0" distL="0" distR="0" wp14:anchorId="1DFC3C35" wp14:editId="656AA30E">
            <wp:extent cx="3044165" cy="3267986"/>
            <wp:effectExtent l="0" t="0" r="444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20" t="34286" r="65592" b="15650"/>
                    <a:stretch/>
                  </pic:blipFill>
                  <pic:spPr bwMode="auto">
                    <a:xfrm>
                      <a:off x="0" y="0"/>
                      <a:ext cx="3089662" cy="3316828"/>
                    </a:xfrm>
                    <a:prstGeom prst="rect">
                      <a:avLst/>
                    </a:prstGeom>
                    <a:ln>
                      <a:noFill/>
                    </a:ln>
                    <a:extLst>
                      <a:ext uri="{53640926-AAD7-44D8-BBD7-CCE9431645EC}">
                        <a14:shadowObscured xmlns:a14="http://schemas.microsoft.com/office/drawing/2010/main"/>
                      </a:ext>
                    </a:extLst>
                  </pic:spPr>
                </pic:pic>
              </a:graphicData>
            </a:graphic>
          </wp:inline>
        </w:drawing>
      </w:r>
    </w:p>
    <w:p w14:paraId="39DAD6AD" w14:textId="599A2A8D" w:rsidR="008F7AA4" w:rsidRDefault="008F7AA4" w:rsidP="00512D07">
      <w:pPr>
        <w:pStyle w:val="Subtitle"/>
        <w:rPr>
          <w:noProof/>
        </w:rPr>
      </w:pPr>
      <w:r>
        <w:rPr>
          <w:noProof/>
        </w:rPr>
        <w:t>Figure 1</w:t>
      </w:r>
      <w:r w:rsidR="006B296C">
        <w:rPr>
          <w:noProof/>
        </w:rPr>
        <w:t>5</w:t>
      </w:r>
      <w:r>
        <w:rPr>
          <w:noProof/>
        </w:rPr>
        <w:t xml:space="preserve"> - Preoperative, postoperative and post-further surgery hypernasality scores, as demonstrated by the “traffic light” system (cream = not recorded)</w:t>
      </w:r>
    </w:p>
    <w:p w14:paraId="3BC3BB0E" w14:textId="5882B260" w:rsidR="008F7AA4" w:rsidRDefault="008F7AA4" w:rsidP="002D2D5E">
      <w:pPr>
        <w:jc w:val="center"/>
      </w:pPr>
      <w:r>
        <w:rPr>
          <w:noProof/>
        </w:rPr>
        <w:drawing>
          <wp:anchor distT="0" distB="0" distL="114300" distR="114300" simplePos="0" relativeHeight="251676672" behindDoc="0" locked="0" layoutInCell="1" allowOverlap="1" wp14:anchorId="10E64330" wp14:editId="38A0A75B">
            <wp:simplePos x="0" y="0"/>
            <wp:positionH relativeFrom="column">
              <wp:posOffset>-619760</wp:posOffset>
            </wp:positionH>
            <wp:positionV relativeFrom="paragraph">
              <wp:posOffset>49503</wp:posOffset>
            </wp:positionV>
            <wp:extent cx="2289589" cy="2289975"/>
            <wp:effectExtent l="0" t="0" r="15875" b="15240"/>
            <wp:wrapNone/>
            <wp:docPr id="20" name="Chart 20">
              <a:extLst xmlns:a="http://schemas.openxmlformats.org/drawingml/2006/main">
                <a:ext uri="{FF2B5EF4-FFF2-40B4-BE49-F238E27FC236}">
                  <a16:creationId xmlns:a16="http://schemas.microsoft.com/office/drawing/2014/main" id="{E2207442-ADB4-4252-823E-CD61249B0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48F216A3" wp14:editId="06410E6D">
            <wp:simplePos x="0" y="0"/>
            <wp:positionH relativeFrom="page">
              <wp:posOffset>4961117</wp:posOffset>
            </wp:positionH>
            <wp:positionV relativeFrom="paragraph">
              <wp:posOffset>49530</wp:posOffset>
            </wp:positionV>
            <wp:extent cx="2289600" cy="2289600"/>
            <wp:effectExtent l="0" t="0" r="15875" b="15875"/>
            <wp:wrapNone/>
            <wp:docPr id="23" name="Chart 23">
              <a:extLst xmlns:a="http://schemas.openxmlformats.org/drawingml/2006/main">
                <a:ext uri="{FF2B5EF4-FFF2-40B4-BE49-F238E27FC236}">
                  <a16:creationId xmlns:a16="http://schemas.microsoft.com/office/drawing/2014/main" id="{179DBB3A-3676-44C8-BA95-AA52B8022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7B42973" wp14:editId="190A3BB1">
            <wp:simplePos x="0" y="0"/>
            <wp:positionH relativeFrom="margin">
              <wp:align>center</wp:align>
            </wp:positionH>
            <wp:positionV relativeFrom="paragraph">
              <wp:posOffset>50800</wp:posOffset>
            </wp:positionV>
            <wp:extent cx="2289600" cy="2289600"/>
            <wp:effectExtent l="0" t="0" r="15875" b="15875"/>
            <wp:wrapNone/>
            <wp:docPr id="22" name="Chart 22">
              <a:extLst xmlns:a="http://schemas.openxmlformats.org/drawingml/2006/main">
                <a:ext uri="{FF2B5EF4-FFF2-40B4-BE49-F238E27FC236}">
                  <a16:creationId xmlns:a16="http://schemas.microsoft.com/office/drawing/2014/main" id="{2DB5D30F-A493-4969-9835-DAEBBA12F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52087392" w14:textId="1DF71B7F" w:rsidR="002D2D5E" w:rsidRDefault="002D2D5E" w:rsidP="006A1FA8">
      <w:pPr>
        <w:jc w:val="both"/>
      </w:pPr>
    </w:p>
    <w:p w14:paraId="0FD7B316" w14:textId="0F0A6B7A" w:rsidR="002D2D5E" w:rsidRDefault="008F7AA4" w:rsidP="006A1FA8">
      <w:pPr>
        <w:jc w:val="both"/>
      </w:pPr>
      <w:r w:rsidRPr="008F7AA4">
        <w:rPr>
          <w:noProof/>
        </w:rPr>
        <w:t xml:space="preserve"> </w:t>
      </w:r>
    </w:p>
    <w:p w14:paraId="0F41D920" w14:textId="33E80D6C" w:rsidR="002D2D5E" w:rsidRDefault="002D2D5E" w:rsidP="006A1FA8">
      <w:pPr>
        <w:jc w:val="both"/>
      </w:pPr>
    </w:p>
    <w:p w14:paraId="0BCBD17A" w14:textId="252FF815" w:rsidR="002D2D5E" w:rsidRDefault="002D2D5E" w:rsidP="006A1FA8">
      <w:pPr>
        <w:jc w:val="both"/>
      </w:pPr>
    </w:p>
    <w:p w14:paraId="3C4D1166" w14:textId="5D37F724" w:rsidR="002D2D5E" w:rsidRDefault="002D2D5E" w:rsidP="006A1FA8">
      <w:pPr>
        <w:jc w:val="both"/>
      </w:pPr>
    </w:p>
    <w:p w14:paraId="47111A49" w14:textId="640C33D4" w:rsidR="008F7AA4" w:rsidRDefault="008F7AA4" w:rsidP="006A1FA8">
      <w:pPr>
        <w:jc w:val="both"/>
      </w:pPr>
    </w:p>
    <w:p w14:paraId="432D3909" w14:textId="38F1F320" w:rsidR="008F7AA4" w:rsidRDefault="008F7AA4" w:rsidP="006A1FA8">
      <w:pPr>
        <w:jc w:val="both"/>
      </w:pPr>
    </w:p>
    <w:p w14:paraId="3CF83A35" w14:textId="743AFCEF" w:rsidR="00512D07" w:rsidRDefault="00512D07" w:rsidP="00512D07">
      <w:pPr>
        <w:pStyle w:val="Subtitle"/>
        <w:jc w:val="left"/>
        <w:rPr>
          <w:rStyle w:val="Heading3Char"/>
          <w:rFonts w:asciiTheme="minorHAnsi" w:eastAsiaTheme="minorEastAsia" w:hAnsiTheme="minorHAnsi" w:cstheme="minorBidi"/>
          <w:color w:val="C45911" w:themeColor="accent2" w:themeShade="BF"/>
          <w:sz w:val="22"/>
          <w:szCs w:val="22"/>
        </w:rPr>
      </w:pPr>
    </w:p>
    <w:p w14:paraId="4DA76BD5" w14:textId="03F29243" w:rsidR="008F7AA4" w:rsidRPr="00512D07" w:rsidRDefault="00512D07" w:rsidP="00512D07">
      <w:pPr>
        <w:pStyle w:val="Subtitle"/>
        <w:rPr>
          <w:rStyle w:val="Heading3Char"/>
          <w:rFonts w:asciiTheme="minorHAnsi" w:eastAsiaTheme="minorEastAsia" w:hAnsiTheme="minorHAnsi" w:cstheme="minorBidi"/>
          <w:color w:val="C45911" w:themeColor="accent2" w:themeShade="BF"/>
          <w:sz w:val="22"/>
          <w:szCs w:val="22"/>
        </w:rPr>
      </w:pPr>
      <w:r>
        <w:t>F</w:t>
      </w:r>
      <w:r w:rsidR="008F7AA4" w:rsidRPr="00512D07">
        <w:rPr>
          <w:rStyle w:val="Heading3Char"/>
          <w:rFonts w:asciiTheme="minorHAnsi" w:eastAsiaTheme="minorEastAsia" w:hAnsiTheme="minorHAnsi" w:cstheme="minorBidi"/>
          <w:color w:val="C45911" w:themeColor="accent2" w:themeShade="BF"/>
          <w:sz w:val="22"/>
          <w:szCs w:val="22"/>
        </w:rPr>
        <w:t>igure 1</w:t>
      </w:r>
      <w:r w:rsidR="006B296C">
        <w:rPr>
          <w:rStyle w:val="Heading3Char"/>
          <w:rFonts w:asciiTheme="minorHAnsi" w:eastAsiaTheme="minorEastAsia" w:hAnsiTheme="minorHAnsi" w:cstheme="minorBidi"/>
          <w:color w:val="C45911" w:themeColor="accent2" w:themeShade="BF"/>
          <w:sz w:val="22"/>
          <w:szCs w:val="22"/>
        </w:rPr>
        <w:t>6</w:t>
      </w:r>
      <w:r w:rsidR="008F7AA4" w:rsidRPr="00512D07">
        <w:rPr>
          <w:rStyle w:val="Heading3Char"/>
          <w:rFonts w:asciiTheme="minorHAnsi" w:eastAsiaTheme="minorEastAsia" w:hAnsiTheme="minorHAnsi" w:cstheme="minorBidi"/>
          <w:color w:val="C45911" w:themeColor="accent2" w:themeShade="BF"/>
          <w:sz w:val="22"/>
          <w:szCs w:val="22"/>
        </w:rPr>
        <w:t xml:space="preserve"> - The change in preoperative hypernasality when compared with postoperative hypernasality</w:t>
      </w:r>
      <w:r w:rsidR="003A2632" w:rsidRPr="00512D07">
        <w:rPr>
          <w:rStyle w:val="Heading3Char"/>
          <w:rFonts w:asciiTheme="minorHAnsi" w:eastAsiaTheme="minorEastAsia" w:hAnsiTheme="minorHAnsi" w:cstheme="minorBidi"/>
          <w:color w:val="C45911" w:themeColor="accent2" w:themeShade="BF"/>
          <w:sz w:val="22"/>
          <w:szCs w:val="22"/>
        </w:rPr>
        <w:t>, and hypernasality following further surgery (left to right respectively)</w:t>
      </w:r>
    </w:p>
    <w:p w14:paraId="0E38C291" w14:textId="52C071A9" w:rsidR="003A2632" w:rsidRDefault="003A2632" w:rsidP="003A2632">
      <w:pPr>
        <w:rPr>
          <w:lang w:eastAsia="en-IE"/>
        </w:rPr>
      </w:pPr>
    </w:p>
    <w:p w14:paraId="3BD552A9" w14:textId="38EFA95B" w:rsidR="003A2632" w:rsidRDefault="003A2632" w:rsidP="003A2632">
      <w:pPr>
        <w:jc w:val="both"/>
        <w:rPr>
          <w:lang w:eastAsia="en-IE"/>
        </w:rPr>
      </w:pPr>
      <w:r>
        <w:rPr>
          <w:lang w:eastAsia="en-IE"/>
        </w:rPr>
        <w:t>Finally, those patients who underwent further surgery were more likely to have a palatal fistula than those who did not. This is demonstrated in figure 1</w:t>
      </w:r>
      <w:r w:rsidR="006B296C">
        <w:rPr>
          <w:lang w:eastAsia="en-IE"/>
        </w:rPr>
        <w:t>7</w:t>
      </w:r>
      <w:r>
        <w:rPr>
          <w:lang w:eastAsia="en-IE"/>
        </w:rPr>
        <w:t xml:space="preserve">, which compares patients who underwent further surgery to those who did not, by </w:t>
      </w:r>
      <w:proofErr w:type="gramStart"/>
      <w:r>
        <w:rPr>
          <w:lang w:eastAsia="en-IE"/>
        </w:rPr>
        <w:t>whether or not</w:t>
      </w:r>
      <w:proofErr w:type="gramEnd"/>
      <w:r>
        <w:rPr>
          <w:lang w:eastAsia="en-IE"/>
        </w:rPr>
        <w:t xml:space="preserve"> a palatal fistula was present. In both instances, it was less common to have a palatal fistula, but this was more frequent in the further surgery cohort. </w:t>
      </w:r>
    </w:p>
    <w:p w14:paraId="2A191526" w14:textId="7DFBD9EF" w:rsidR="003A2632" w:rsidRDefault="003A2632" w:rsidP="003A2632">
      <w:pPr>
        <w:jc w:val="center"/>
        <w:rPr>
          <w:lang w:eastAsia="en-IE"/>
        </w:rPr>
      </w:pPr>
      <w:r>
        <w:rPr>
          <w:noProof/>
        </w:rPr>
        <w:lastRenderedPageBreak/>
        <w:drawing>
          <wp:inline distT="0" distB="0" distL="0" distR="0" wp14:anchorId="41E48ECD" wp14:editId="08D32033">
            <wp:extent cx="3951798" cy="2146852"/>
            <wp:effectExtent l="0" t="0" r="10795" b="6350"/>
            <wp:docPr id="24" name="Chart 24">
              <a:extLst xmlns:a="http://schemas.openxmlformats.org/drawingml/2006/main">
                <a:ext uri="{FF2B5EF4-FFF2-40B4-BE49-F238E27FC236}">
                  <a16:creationId xmlns:a16="http://schemas.microsoft.com/office/drawing/2014/main" id="{DDADF44B-DAE4-4FB7-B099-8F72563A4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423680" w14:textId="70B86337" w:rsidR="003A2632" w:rsidRDefault="003A2632" w:rsidP="00512D07">
      <w:pPr>
        <w:pStyle w:val="Subtitle"/>
      </w:pPr>
      <w:r>
        <w:t>Figure 1</w:t>
      </w:r>
      <w:r w:rsidR="006B296C">
        <w:t>7</w:t>
      </w:r>
      <w:r>
        <w:t xml:space="preserve"> – Comparison of fistula presence in those who went on to have further surgery versus those who did not (in percentage)</w:t>
      </w:r>
    </w:p>
    <w:p w14:paraId="2CF8DB0D" w14:textId="42602D59" w:rsidR="008F7AA4" w:rsidRDefault="008F7AA4" w:rsidP="006A1FA8">
      <w:pPr>
        <w:jc w:val="both"/>
      </w:pPr>
    </w:p>
    <w:p w14:paraId="440C43A4" w14:textId="5E9DB705" w:rsidR="00E303B3" w:rsidRDefault="00E303B3" w:rsidP="006A1FA8">
      <w:pPr>
        <w:jc w:val="both"/>
      </w:pPr>
      <w:r>
        <w:t xml:space="preserve">Of those patients who underwent further surgery, half had an </w:t>
      </w:r>
      <w:proofErr w:type="spellStart"/>
      <w:r>
        <w:t>orticochea</w:t>
      </w:r>
      <w:proofErr w:type="spellEnd"/>
      <w:r>
        <w:t xml:space="preserve"> pharyngoplasty procedure, and the remaining half had palatal lengthening with bilateral buccal flaps. Those who underwent pharyngoplasty were typically carried out at a point in time prior to those who underwent buccal flaps, </w:t>
      </w:r>
      <w:proofErr w:type="gramStart"/>
      <w:r>
        <w:t>with the exception of</w:t>
      </w:r>
      <w:proofErr w:type="gramEnd"/>
      <w:r>
        <w:t xml:space="preserve"> one patient who had both. Both groups had comparable scores for hypernasality postoperatively, as demonstrated in figure 1</w:t>
      </w:r>
      <w:r w:rsidR="006B296C">
        <w:t>8</w:t>
      </w:r>
      <w:r>
        <w:t xml:space="preserve"> below. </w:t>
      </w:r>
    </w:p>
    <w:p w14:paraId="2A9A2C41" w14:textId="00306AD5" w:rsidR="00E303B3" w:rsidRDefault="00E303B3" w:rsidP="00E303B3">
      <w:pPr>
        <w:jc w:val="center"/>
        <w:rPr>
          <w:b/>
          <w:bCs/>
        </w:rPr>
      </w:pPr>
      <w:r>
        <w:rPr>
          <w:noProof/>
        </w:rPr>
        <w:drawing>
          <wp:inline distT="0" distB="0" distL="0" distR="0" wp14:anchorId="45C1788E" wp14:editId="082EA303">
            <wp:extent cx="3913910" cy="20832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20" t="33546" r="44092" b="15650"/>
                    <a:stretch/>
                  </pic:blipFill>
                  <pic:spPr bwMode="auto">
                    <a:xfrm>
                      <a:off x="0" y="0"/>
                      <a:ext cx="3929541" cy="2091562"/>
                    </a:xfrm>
                    <a:prstGeom prst="rect">
                      <a:avLst/>
                    </a:prstGeom>
                    <a:ln>
                      <a:noFill/>
                    </a:ln>
                    <a:extLst>
                      <a:ext uri="{53640926-AAD7-44D8-BBD7-CCE9431645EC}">
                        <a14:shadowObscured xmlns:a14="http://schemas.microsoft.com/office/drawing/2010/main"/>
                      </a:ext>
                    </a:extLst>
                  </pic:spPr>
                </pic:pic>
              </a:graphicData>
            </a:graphic>
          </wp:inline>
        </w:drawing>
      </w:r>
    </w:p>
    <w:p w14:paraId="5C7F1E75" w14:textId="152FFC9A" w:rsidR="00E303B3" w:rsidRPr="00E303B3" w:rsidRDefault="00E303B3" w:rsidP="00512D07">
      <w:pPr>
        <w:pStyle w:val="Subtitle"/>
      </w:pPr>
      <w:r>
        <w:t>Figure 1</w:t>
      </w:r>
      <w:r w:rsidR="006B296C">
        <w:t>8</w:t>
      </w:r>
      <w:r>
        <w:t xml:space="preserve"> - </w:t>
      </w:r>
      <w:r>
        <w:rPr>
          <w:noProof/>
        </w:rPr>
        <w:t>Preoperative, postoperative and post-further surgery hypernasality scores, organised by procedure, as demonstrated by the “traffic light” system (cream = not recorded)</w:t>
      </w:r>
    </w:p>
    <w:p w14:paraId="0BA2BA1B" w14:textId="79E54933" w:rsidR="00BB4740" w:rsidRDefault="00BB4740" w:rsidP="00BB4740">
      <w:pPr>
        <w:pStyle w:val="Heading1"/>
      </w:pPr>
      <w:bookmarkStart w:id="19" w:name="_Toc129708563"/>
      <w:r>
        <w:t>Discussion</w:t>
      </w:r>
      <w:bookmarkEnd w:id="19"/>
    </w:p>
    <w:p w14:paraId="17E621E8" w14:textId="18724159" w:rsidR="006055A7" w:rsidRPr="00F70EC9" w:rsidRDefault="006055A7" w:rsidP="006055A7">
      <w:pPr>
        <w:jc w:val="both"/>
      </w:pPr>
      <w:r>
        <w:t xml:space="preserve">Over a </w:t>
      </w:r>
      <w:proofErr w:type="gramStart"/>
      <w:r>
        <w:t>10 year</w:t>
      </w:r>
      <w:proofErr w:type="gramEnd"/>
      <w:r>
        <w:t xml:space="preserve"> period, 104 patients underwent CPR-R surgery at a single unit. Two were excluded as postoperative clinical records could not be obtained, and as such, the records of 102 patients were evaluated in the present study. For speech outcome measures, GOS.SP.ASS scores were utilised, per the UK National Standard for Audit.</w:t>
      </w:r>
      <w:r>
        <w:fldChar w:fldCharType="begin" w:fldLock="1"/>
      </w:r>
      <w:r w:rsidR="00276744">
        <w:instrText>ADDIN CSL_CITATION {"citationItems":[{"id":"ITEM-1","itemData":{"DOI":"10.1080/136828299247595","ISSN":"13682822","PMID":"10505144","abstract":"In 1994 the present authors proposed a speech assessment protocol for speech disorders associated with cleft palate and/or velopharyngeal dysfunction known as GOS.SP.ASS. (Great Ormond Street Speech Assessment). In a recent survey undertaken to review the different speech assessment protocols used in six cleft palate centres in the UK, GOS.SP.ASS. was selected from six protocols as the optimal procedure for clinical and research purposes. The process of identifying an optimal procedure involved analysis of completed forms for each assessment. Analysis of the completed GOS.SP.ASS. forms revealed significant ambiguities in the protocol which led to differences in form completion. This paper describes important revisions to the original GOS.SP.ASS. protocol in order to ensure comparable data from different clinicians. This detailed speech assessment is now complemented by the Cleft Audit Protocol for Speech (CAPS), a tool recommended for clinical audit. As a result of close collaboration in their preparation, the results are directly comparable. In addition, the speech elicitation sentences and the phonetic diagram have been modified.","author":[{"dropping-particle":"","family":"Grunwell","given":"Debbie Sell Anne Harding Pamela","non-dropping-particle":"","parse-names":false,"suffix":""}],"container-title":"International Journal of Language and Communication Disorders","id":"ITEM-1","issue":"1","issued":{"date-parts":[["1999"]]},"page":"17-33","publisher":"Taylor and Francis Ltd","title":"GOS.SP.ASS.'98: An assessment for speech disorders associated with cleft palate and/or velopharyngeal dysfunction (revised)","type":"article-journal","volume":"34"},"uris":["http://www.mendeley.com/documents/?uuid=f9f28774-5245-39ff-8e33-06edca79db1b"]}],"mendeley":{"formattedCitation":"&lt;sup&gt;6&lt;/sup&gt;","plainTextFormattedCitation":"6","previouslyFormattedCitation":"&lt;sup&gt;6&lt;/sup&gt;"},"properties":{"noteIndex":0},"schema":"https://github.com/citation-style-language/schema/raw/master/csl-citation.json"}</w:instrText>
      </w:r>
      <w:r>
        <w:fldChar w:fldCharType="separate"/>
      </w:r>
      <w:r w:rsidR="00060656" w:rsidRPr="00060656">
        <w:rPr>
          <w:noProof/>
          <w:vertAlign w:val="superscript"/>
        </w:rPr>
        <w:t>6</w:t>
      </w:r>
      <w:r>
        <w:fldChar w:fldCharType="end"/>
      </w:r>
      <w:r>
        <w:t xml:space="preserve"> Throughout much of the literature, speech outcomes are reported as either GOS.SP.ASS scores, or as Cleft Audit Protocol for Speech – Augmented (CAPS-A) score. GOS.SP.ASS scores and CAPS-A scores have been found to be directly comparable, thus enabling a comparison with the literature, where CAPS-A scores are more frequently used by international authors.</w:t>
      </w:r>
      <w:r>
        <w:fldChar w:fldCharType="begin" w:fldLock="1"/>
      </w:r>
      <w:r w:rsidR="00276744">
        <w:instrText>ADDIN CSL_CITATION {"citationItems":[{"id":"ITEM-1","itemData":{"DOI":"10.1080/136828299247595","ISSN":"13682822","PMID":"10505144","abstract":"In 1994 the present authors proposed a speech assessment protocol for speech disorders associated with cleft palate and/or velopharyngeal dysfunction known as GOS.SP.ASS. (Great Ormond Street Speech Assessment). In a recent survey undertaken to review the different speech assessment protocols used in six cleft palate centres in the UK, GOS.SP.ASS. was selected from six protocols as the optimal procedure for clinical and research purposes. The process of identifying an optimal procedure involved analysis of completed forms for each assessment. Analysis of the completed GOS.SP.ASS. forms revealed significant ambiguities in the protocol which led to differences in form completion. This paper describes important revisions to the original GOS.SP.ASS. protocol in order to ensure comparable data from different clinicians. This detailed speech assessment is now complemented by the Cleft Audit Protocol for Speech (CAPS), a tool recommended for clinical audit. As a result of close collaboration in their preparation, the results are directly comparable. In addition, the speech elicitation sentences and the phonetic diagram have been modified.","author":[{"dropping-particle":"","family":"Grunwell","given":"Debbie Sell Anne Harding Pamela","non-dropping-particle":"","parse-names":false,"suffix":""}],"container-title":"International Journal of Language and Communication Disorders","id":"ITEM-1","issue":"1","issued":{"date-parts":[["1999"]]},"page":"17-33","publisher":"Taylor and Francis Ltd","title":"GOS.SP.ASS.'98: An assessment for speech disorders associated with cleft palate and/or velopharyngeal dysfunction (revised)","type":"article-journal","volume":"34"},"uris":["http://www.mendeley.com/documents/?uuid=f9f28774-5245-39ff-8e33-06edca79db1b"]},{"id":"ITEM-2","itemData":{"DOI":"10.1597/04-141.1","ISSN":"1055-6656","PMID":"16681400","abstract":"OBJECTIVES To develop an assessment tool for use in intercenter audit studies of cleft speech and to test its acceptability, validity, and reliability. The tool is to be used systematically to record and report speech outcomes, providing an indication of treatment needs and continuing burden of care. SETTING Regional Cleft Center, U.K. METHODS The Cleft Audit Protocol for Speech-Augmented (CAPS-A) was developed by three cleft speech experts who identified the key features required from existing assessment measures. Criterion validity was assessed by comparing the Cleft Audit Protocol for Speech-Augmented outcomes reported for 20 cases with clinical assessment results and other investigations. Intra- and interrater reliability were tested following the training of specialist speech and language therapists who used the Cleft Audit Protocol for Speech-Augmented on two occasions to assess 10 cases. The raters evaluated acceptability and ease of using a questionnaire. RESULTS The mean percentage agreement for criterion validity in each section was 87% (range 70% to 100%). Both intra- and interexaminer reliability were rated as good/very good (Kappa 0.61 to 1.00) for seven sections and moderate (Kappa 0.41 to 0.60) for three sections. Raters reported that the Cleft Audit Protocol for Speech-Augmented was acceptable and easy to use with appropriate training. CONCLUSION An acceptable, valid, and reliable cleft speech audit tool has been developed based on a small sample. The Cleft Audit Protocol for Speech-Augmented is recommended for use in intercenter audit studies in the U.K. and Ireland and could be used in other English-speaking countries. In addition, it has wider applicability for use in reporting speech outcomes of surgical procedures.","author":[{"dropping-particle":"","family":"John","given":"Alexandra","non-dropping-particle":"","parse-names":false,"suffix":""},{"dropping-particle":"","family":"Sell","given":"Debbie","non-dropping-particle":"","parse-names":false,"suffix":""},{"dropping-particle":"","family":"Sweeney","given":"Triona","non-dropping-particle":"","parse-names":false,"suffix":""},{"dropping-particle":"","family":"Harding-Bell","given":"Anne","non-dropping-particle":"","parse-names":false,"suffix":""},{"dropping-particle":"","family":"Williams","given":"Alison","non-dropping-particle":"","parse-names":false,"suffix":""}],"container-title":"The Cleft Palate-Craniofacial Journal","id":"ITEM-2","issue":"3","issued":{"date-parts":[["2006","5"]]},"page":"272-288","publisher":"SAGE Publications","title":"The Cleft Audit Protocol for Speech—Augmented: A Validated and Reliable Measure for Auditing Cleft Speech","type":"article-journal","volume":"43"},"uris":["http://www.mendeley.com/documents/?uuid=208555da-367c-32ea-aa2b-ccce44e20acf"]}],"mendeley":{"formattedCitation":"&lt;sup&gt;5,6&lt;/sup&gt;","plainTextFormattedCitation":"5,6","previouslyFormattedCitation":"&lt;sup&gt;5,6&lt;/sup&gt;"},"properties":{"noteIndex":0},"schema":"https://github.com/citation-style-language/schema/raw/master/csl-citation.json"}</w:instrText>
      </w:r>
      <w:r>
        <w:fldChar w:fldCharType="separate"/>
      </w:r>
      <w:r w:rsidR="00060656" w:rsidRPr="00060656">
        <w:rPr>
          <w:noProof/>
          <w:vertAlign w:val="superscript"/>
        </w:rPr>
        <w:t>5,6</w:t>
      </w:r>
      <w:r>
        <w:fldChar w:fldCharType="end"/>
      </w:r>
    </w:p>
    <w:p w14:paraId="6EA923A9" w14:textId="78A947AA" w:rsidR="006055A7" w:rsidRDefault="006055A7" w:rsidP="006A1FA8">
      <w:pPr>
        <w:jc w:val="both"/>
      </w:pPr>
      <w:r>
        <w:lastRenderedPageBreak/>
        <w:t>Within our cohort, where possible, the GOS.SP.ASS score was taken 12 months postoperatively, or at subsequent assessments. Where assessment was only carried out at a time earlier than 12 months, this score was then taken, resulting in a large standard deviation from the mean. However, as our patients attend from a large geographical area, later reviews often take place at local speech and language services. As such, although longer term data for these patients was not always available, patients who were unlikely to require further surgical intervention were generally followed up at another unit. Furthermore, i</w:t>
      </w:r>
      <w:r w:rsidR="002D2D5E">
        <w:t xml:space="preserve">t is worth noting that children under 3 years are not usually amenable to GOS.SP.ASS evaluation, and the decision to treat these children is often informed by video fluoroscopy findings. </w:t>
      </w:r>
      <w:r>
        <w:t>Video fluoroscopy findings were not considered within the scope of this evaluation.</w:t>
      </w:r>
    </w:p>
    <w:p w14:paraId="28049C70" w14:textId="2939C99A" w:rsidR="006055A7" w:rsidRDefault="006055A7" w:rsidP="006055A7">
      <w:pPr>
        <w:pStyle w:val="Heading2"/>
      </w:pPr>
      <w:bookmarkStart w:id="20" w:name="_Toc129708564"/>
      <w:r>
        <w:t>Demographics</w:t>
      </w:r>
      <w:bookmarkEnd w:id="20"/>
    </w:p>
    <w:p w14:paraId="28F7E094" w14:textId="1964B243" w:rsidR="006055A7" w:rsidRDefault="00A9342F" w:rsidP="00A9342F">
      <w:pPr>
        <w:jc w:val="both"/>
        <w:rPr>
          <w:lang w:eastAsia="en-IE"/>
        </w:rPr>
      </w:pPr>
      <w:r>
        <w:rPr>
          <w:lang w:eastAsia="en-IE"/>
        </w:rPr>
        <w:t>Within our patient cohort, the mean age of patients (6.5 years) was comparable to that found in the literature, which varies from 5.7 years and 6.8 years in more recent papers, to 10.8 years in a slightly older study.</w:t>
      </w:r>
      <w:r>
        <w:rPr>
          <w:lang w:eastAsia="en-IE"/>
        </w:rPr>
        <w:fldChar w:fldCharType="begin" w:fldLock="1"/>
      </w:r>
      <w:r w:rsidR="00276744">
        <w:rPr>
          <w:lang w:eastAsia="en-IE"/>
        </w:rPr>
        <w:instrText>ADDIN CSL_CITATION {"citationItems":[{"id":"ITEM-1","itemData":{"DOI":"10.1097/SCS.0000000000007343","ISSN":"15363732","PMID":"33705010","abstract":"BACKGROUND: Velopharyngeal insufficiency (VPI) often results from palatal shortening or insufficient levator function after cleft palate repair. AIMS: To assess the efficacy of palatal re-repair with Z-plasty in treatment of VPI for patients with isolated cleft palate (ICP). METHODS: This retrospective analysis comprised 130 consecutive patients who had ICP with VPI that required Z-plasty as secondary surgery between 2008 and 2017. Pre- and post-operative evaluation of velopharyngeal function was done perceptually and instrumentally by Nasometer. RESULTS: Median patient age at Z-plasty was 6.8 years (range 3.0-20.1). Of the 130 patients, preoperatively VPI was severe in 73 (56%), mild-to-moderate in 55 (42%), and borderline in 2 (2%). Postoperatively, 105 (81%) of patients achieved adequate (normal or borderline) velopharyngeal competence and 16 (12%) required second operation for residual VPI. The success rate was 84% in nonsyndromic patients, 79% in nonsyndromic Pierre Robin sequence patients, and 58% in syndromic patients. In syndromic children, the speech outcome was significantly worse than in nonsyndromic children (P = 0.014). Complications included wound healing problems in 3 patients (2%), mild infection in 1 patient (1%), postoperative bleeding in 1 (1%), and postoperative fistula in 2 (2%). CONCLUSION: Palatal re-repair with Z-plasty is a safe operation for VPI correction in patients with ICP with a success rate of 81%. In syndromic patients, the procedure did not seem to work as well as in nonsyndromic patients.","author":[{"dropping-particle":"","family":"Ahti","given":"Veera","non-dropping-particle":"","parse-names":false,"suffix":""},{"dropping-particle":"","family":"Alaluusua","given":"Suvi","non-dropping-particle":"","parse-names":false,"suffix":""},{"dropping-particle":"","family":"Vuola","given":"Pia","non-dropping-particle":"","parse-names":false,"suffix":""},{"dropping-particle":"","family":"Rautio","given":"Jorma","non-dropping-particle":"","parse-names":false,"suffix":""},{"dropping-particle":"","family":"Leikola","given":"Junnu","non-dropping-particle":"","parse-names":false,"suffix":""},{"dropping-particle":"","family":"Saarikko","given":"Anne","non-dropping-particle":"","parse-names":false,"suffix":""}],"container-title":"The Journal of craniofacial surgery","id":"ITEM-1","issue":"2","issued":{"date-parts":[["2021","3","1"]]},"page":"685-690","publisher":"NLM (Medline)","title":"Palatal Re-Repair With Z-Plasty in Treatment of Velopharyngeal Insufficiency of Syndromic and Nonsyndromic Patients With Cleft Palate","type":"article-journal","volume":"32"},"uris":["http://www.mendeley.com/documents/?uuid=72248f4c-8db1-3968-b4e0-dbab36962aca"]},{"id":"ITEM-2","itemData":{"DOI":"10.1097/SCS.0000000000007514","ISSN":"15363732","PMID":"33705013","abstract":"ABSTRACT: Speech has a very significant impact on the life quality of people with cleft and lip palate. Restore tissue anatomy and functionality is the main aim of primary palatal surgery. Multiple factors are associated with successful handling, including the need for a velopharyngeal insufficiency (VPI) secondary surgery. The study's aim is to determine speech and velopharyngeal function outcomes in children with cleft palate operated in our institution and to determine VPI secondary surgery outcomes, if appropriate. Clinical records of nonsyndromic patients with cleft palate born between January 2009 and December 2012, who performed their multidisciplinary care on our institution, were analyzed retrospectively. One hundred forty-two patients received primary palatal surgery. Eighty (56%) were male and 62 (44%) female. Twenty-two had soft cleft palate, 9 hard and soft cleft palate, 84 unilateral, and 27 bilateral cleft lip and palate. Twelve percent of patients presented palatal fistula, with a significantly higher presentation in Soft Cleft Palate and Hard and Soft Cleft Palate. Twenty-seven patients (19%) had surgical indication for VPI correction, and 20 of them received VPI surgery, before school age. Cleft type and gender were significantly associated with VPI surgery indication rate. Postsurgery, 80% presented normal resonance. Nasal emission improved in 85% of patients. Nasometry decreased from 45% to 31%. Hyponasality increased by 10%. One case presented total flap dehiscence. Preoperative planning must be done carefully and individualized to succeed. Future prospective research that considers all the variables for a correct analysis is advisable, to improve our results.","author":[{"dropping-particle":"","family":"Carvajal Álvarez","given":"Drina C.","non-dropping-particle":"","parse-names":false,"suffix":""},{"dropping-particle":"","family":"Palomares-Aguilera","given":"Mirta M.","non-dropping-particle":"","parse-names":false,"suffix":""},{"dropping-particle":"","family":"Meneses Geldres","given":"María B.","non-dropping-particle":"","parse-names":false,"suffix":""},{"dropping-particle":"","family":"Villarroel Giugliano","given":"Carlos","non-dropping-particle":"","parse-names":false,"suffix":""}],"container-title":"The Journal of craniofacial surgery","id":"ITEM-2","issue":"2","issued":{"date-parts":[["2021","3","1"]]},"page":"698-704","publisher":"NLM (Medline)","title":"Primary Palatal Surgery in Nonsyndromic Cleft Palate Children and Velopharyngeal Insufficiency Correction Outcomes","type":"article-journal","volume":"32"},"uris":["http://www.mendeley.com/documents/?uuid=2927b337-c057-3c16-ae0d-9d4def311de1"]},{"id":"ITEM-3","itemData":{"DOI":"10.1597/1545-1569_2002_039_0295_PRRR_2.0.CO_2","ISSN":"1055-6656","abstract":"OBJECTIVE: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Journal","id":"ITEM-3","issue":"3","issued":{"date-parts":[["2002","5"]]},"page":"295-307","publisher":"SAGE Publications","title":"Palate Re-Repair Revisited","type":"article-journal","volume":"39"},"uris":["http://www.mendeley.com/documents/?uuid=f5614a92-f4b2-3284-bded-3c97decb1ac5"]}],"mendeley":{"formattedCitation":"&lt;sup&gt;4,7,8&lt;/sup&gt;","plainTextFormattedCitation":"4,7,8","previouslyFormattedCitation":"&lt;sup&gt;4,7,8&lt;/sup&gt;"},"properties":{"noteIndex":0},"schema":"https://github.com/citation-style-language/schema/raw/master/csl-citation.json"}</w:instrText>
      </w:r>
      <w:r>
        <w:rPr>
          <w:lang w:eastAsia="en-IE"/>
        </w:rPr>
        <w:fldChar w:fldCharType="separate"/>
      </w:r>
      <w:r w:rsidR="00060656" w:rsidRPr="00060656">
        <w:rPr>
          <w:noProof/>
          <w:vertAlign w:val="superscript"/>
          <w:lang w:eastAsia="en-IE"/>
        </w:rPr>
        <w:t>4,7,8</w:t>
      </w:r>
      <w:r>
        <w:rPr>
          <w:lang w:eastAsia="en-IE"/>
        </w:rPr>
        <w:fldChar w:fldCharType="end"/>
      </w:r>
      <w:r>
        <w:rPr>
          <w:lang w:eastAsia="en-IE"/>
        </w:rPr>
        <w:t xml:space="preserve"> Similarly, the literature suggests that patients undergoing CPR-R have a wide variation in age, likely owing to the fact that the decision to undertake further surgery is tailored to each individual patient and their progress with regards to speech.</w:t>
      </w:r>
      <w:r>
        <w:rPr>
          <w:lang w:eastAsia="en-IE"/>
        </w:rPr>
        <w:fldChar w:fldCharType="begin" w:fldLock="1"/>
      </w:r>
      <w:r w:rsidR="00276744">
        <w:rPr>
          <w:lang w:eastAsia="en-IE"/>
        </w:rPr>
        <w:instrText>ADDIN CSL_CITATION {"citationItems":[{"id":"ITEM-1","itemData":{"DOI":"10.1097/SCS.0000000000007343","ISSN":"15363732","PMID":"33705010","abstract":"BACKGROUND: Velopharyngeal insufficiency (VPI) often results from palatal shortening or insufficient levator function after cleft palate repair. AIMS: To assess the efficacy of palatal re-repair with Z-plasty in treatment of VPI for patients with isolated cleft palate (ICP). METHODS: This retrospective analysis comprised 130 consecutive patients who had ICP with VPI that required Z-plasty as secondary surgery between 2008 and 2017. Pre- and post-operative evaluation of velopharyngeal function was done perceptually and instrumentally by Nasometer. RESULTS: Median patient age at Z-plasty was 6.8 years (range 3.0-20.1). Of the 130 patients, preoperatively VPI was severe in 73 (56%), mild-to-moderate in 55 (42%), and borderline in 2 (2%). Postoperatively, 105 (81%) of patients achieved adequate (normal or borderline) velopharyngeal competence and 16 (12%) required second operation for residual VPI. The success rate was 84% in nonsyndromic patients, 79% in nonsyndromic Pierre Robin sequence patients, and 58% in syndromic patients. In syndromic children, the speech outcome was significantly worse than in nonsyndromic children (P = 0.014). Complications included wound healing problems in 3 patients (2%), mild infection in 1 patient (1%), postoperative bleeding in 1 (1%), and postoperative fistula in 2 (2%). CONCLUSION: Palatal re-repair with Z-plasty is a safe operation for VPI correction in patients with ICP with a success rate of 81%. In syndromic patients, the procedure did not seem to work as well as in nonsyndromic patients.","author":[{"dropping-particle":"","family":"Ahti","given":"Veera","non-dropping-particle":"","parse-names":false,"suffix":""},{"dropping-particle":"","family":"Alaluusua","given":"Suvi","non-dropping-particle":"","parse-names":false,"suffix":""},{"dropping-particle":"","family":"Vuola","given":"Pia","non-dropping-particle":"","parse-names":false,"suffix":""},{"dropping-particle":"","family":"Rautio","given":"Jorma","non-dropping-particle":"","parse-names":false,"suffix":""},{"dropping-particle":"","family":"Leikola","given":"Junnu","non-dropping-particle":"","parse-names":false,"suffix":""},{"dropping-particle":"","family":"Saarikko","given":"Anne","non-dropping-particle":"","parse-names":false,"suffix":""}],"container-title":"The Journal of craniofacial surgery","id":"ITEM-1","issue":"2","issued":{"date-parts":[["2021","3","1"]]},"page":"685-690","publisher":"NLM (Medline)","title":"Palatal Re-Repair With Z-Plasty in Treatment of Velopharyngeal Insufficiency of Syndromic and Nonsyndromic Patients With Cleft Palate","type":"article-journal","volume":"32"},"uris":["http://www.mendeley.com/documents/?uuid=72248f4c-8db1-3968-b4e0-dbab36962aca"]},{"id":"ITEM-2","itemData":{"DOI":"10.1097/SCS.0000000000007514","ISSN":"15363732","PMID":"33705013","abstract":"ABSTRACT: Speech has a very significant impact on the life quality of people with cleft and lip palate. Restore tissue anatomy and functionality is the main aim of primary palatal surgery. Multiple factors are associated with successful handling, including the need for a velopharyngeal insufficiency (VPI) secondary surgery. The study's aim is to determine speech and velopharyngeal function outcomes in children with cleft palate operated in our institution and to determine VPI secondary surgery outcomes, if appropriate. Clinical records of nonsyndromic patients with cleft palate born between January 2009 and December 2012, who performed their multidisciplinary care on our institution, were analyzed retrospectively. One hundred forty-two patients received primary palatal surgery. Eighty (56%) were male and 62 (44%) female. Twenty-two had soft cleft palate, 9 hard and soft cleft palate, 84 unilateral, and 27 bilateral cleft lip and palate. Twelve percent of patients presented palatal fistula, with a significantly higher presentation in Soft Cleft Palate and Hard and Soft Cleft Palate. Twenty-seven patients (19%) had surgical indication for VPI correction, and 20 of them received VPI surgery, before school age. Cleft type and gender were significantly associated with VPI surgery indication rate. Postsurgery, 80% presented normal resonance. Nasal emission improved in 85% of patients. Nasometry decreased from 45% to 31%. Hyponasality increased by 10%. One case presented total flap dehiscence. Preoperative planning must be done carefully and individualized to succeed. Future prospective research that considers all the variables for a correct analysis is advisable, to improve our results.","author":[{"dropping-particle":"","family":"Carvajal Álvarez","given":"Drina C.","non-dropping-particle":"","parse-names":false,"suffix":""},{"dropping-particle":"","family":"Palomares-Aguilera","given":"Mirta M.","non-dropping-particle":"","parse-names":false,"suffix":""},{"dropping-particle":"","family":"Meneses Geldres","given":"María B.","non-dropping-particle":"","parse-names":false,"suffix":""},{"dropping-particle":"","family":"Villarroel Giugliano","given":"Carlos","non-dropping-particle":"","parse-names":false,"suffix":""}],"container-title":"The Journal of craniofacial surgery","id":"ITEM-2","issue":"2","issued":{"date-parts":[["2021","3","1"]]},"page":"698-704","publisher":"NLM (Medline)","title":"Primary Palatal Surgery in Nonsyndromic Cleft Palate Children and Velopharyngeal Insufficiency Correction Outcomes","type":"article-journal","volume":"32"},"uris":["http://www.mendeley.com/documents/?uuid=2927b337-c057-3c16-ae0d-9d4def311de1"]},{"id":"ITEM-3","itemData":{"DOI":"10.1597/1545-1569_2002_039_0295_PRRR_2.0.CO_2","ISSN":"1055-6656","abstract":"OBJECTIVE: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Journal","id":"ITEM-3","issue":"3","issued":{"date-parts":[["2002","5"]]},"page":"295-307","publisher":"SAGE Publications","title":"Palate Re-Repair Revisited","type":"article-journal","volume":"39"},"uris":["http://www.mendeley.com/documents/?uuid=f5614a92-f4b2-3284-bded-3c97decb1ac5"]}],"mendeley":{"formattedCitation":"&lt;sup&gt;4,7,8&lt;/sup&gt;","plainTextFormattedCitation":"4,7,8","previouslyFormattedCitation":"&lt;sup&gt;4,7,8&lt;/sup&gt;"},"properties":{"noteIndex":0},"schema":"https://github.com/citation-style-language/schema/raw/master/csl-citation.json"}</w:instrText>
      </w:r>
      <w:r>
        <w:rPr>
          <w:lang w:eastAsia="en-IE"/>
        </w:rPr>
        <w:fldChar w:fldCharType="separate"/>
      </w:r>
      <w:r w:rsidR="00060656" w:rsidRPr="00060656">
        <w:rPr>
          <w:noProof/>
          <w:vertAlign w:val="superscript"/>
          <w:lang w:eastAsia="en-IE"/>
        </w:rPr>
        <w:t>4,7,8</w:t>
      </w:r>
      <w:r>
        <w:rPr>
          <w:lang w:eastAsia="en-IE"/>
        </w:rPr>
        <w:fldChar w:fldCharType="end"/>
      </w:r>
    </w:p>
    <w:p w14:paraId="658BA3EB" w14:textId="391C6E20" w:rsidR="00A9342F" w:rsidRDefault="00A9342F" w:rsidP="00A9342F">
      <w:pPr>
        <w:jc w:val="both"/>
        <w:rPr>
          <w:lang w:eastAsia="en-IE"/>
        </w:rPr>
      </w:pPr>
    </w:p>
    <w:p w14:paraId="12B98FDA" w14:textId="32AC126D" w:rsidR="00A9342F" w:rsidRDefault="00A9342F" w:rsidP="00A9342F">
      <w:pPr>
        <w:pStyle w:val="Heading2"/>
        <w:rPr>
          <w:lang w:eastAsia="en-IE"/>
        </w:rPr>
      </w:pPr>
      <w:bookmarkStart w:id="21" w:name="_Toc129708565"/>
      <w:r>
        <w:rPr>
          <w:lang w:eastAsia="en-IE"/>
        </w:rPr>
        <w:t>Need for further surgery</w:t>
      </w:r>
      <w:bookmarkEnd w:id="21"/>
    </w:p>
    <w:p w14:paraId="70ADD1A1" w14:textId="14DCF850" w:rsidR="004C64BD" w:rsidRDefault="00A5024C" w:rsidP="00A5024C">
      <w:pPr>
        <w:jc w:val="both"/>
        <w:rPr>
          <w:lang w:eastAsia="en-IE"/>
        </w:rPr>
      </w:pPr>
      <w:r>
        <w:rPr>
          <w:lang w:eastAsia="en-IE"/>
        </w:rPr>
        <w:t>Ultimately, CPR-R surgery can, in most cases, be considered a success when no further surgical intervention is required. In our unit, 8</w:t>
      </w:r>
      <w:r w:rsidR="00981F9D">
        <w:rPr>
          <w:lang w:eastAsia="en-IE"/>
        </w:rPr>
        <w:t>2</w:t>
      </w:r>
      <w:r>
        <w:rPr>
          <w:lang w:eastAsia="en-IE"/>
        </w:rPr>
        <w:t xml:space="preserve">.4% of patients did not require any further surgery to improve their speech outcomes or function. Within the literature, the rate of re-operation </w:t>
      </w:r>
      <w:r w:rsidR="002B414F">
        <w:rPr>
          <w:lang w:eastAsia="en-IE"/>
        </w:rPr>
        <w:t xml:space="preserve">varied greatly. In a 2002 paper by </w:t>
      </w:r>
      <w:proofErr w:type="spellStart"/>
      <w:r w:rsidR="002B414F">
        <w:rPr>
          <w:lang w:eastAsia="en-IE"/>
        </w:rPr>
        <w:t>Sommerlad</w:t>
      </w:r>
      <w:proofErr w:type="spellEnd"/>
      <w:r w:rsidR="002B414F">
        <w:rPr>
          <w:lang w:eastAsia="en-IE"/>
        </w:rPr>
        <w:t xml:space="preserve"> where, as in our cohort, all patients underwent </w:t>
      </w:r>
      <w:proofErr w:type="spellStart"/>
      <w:r w:rsidR="002B414F">
        <w:rPr>
          <w:lang w:eastAsia="en-IE"/>
        </w:rPr>
        <w:t>intravelar</w:t>
      </w:r>
      <w:proofErr w:type="spellEnd"/>
      <w:r w:rsidR="002B414F">
        <w:rPr>
          <w:lang w:eastAsia="en-IE"/>
        </w:rPr>
        <w:t xml:space="preserve"> </w:t>
      </w:r>
      <w:proofErr w:type="spellStart"/>
      <w:r w:rsidR="002B414F">
        <w:rPr>
          <w:lang w:eastAsia="en-IE"/>
        </w:rPr>
        <w:t>veloplasty</w:t>
      </w:r>
      <w:proofErr w:type="spellEnd"/>
      <w:r w:rsidR="002B414F">
        <w:rPr>
          <w:lang w:eastAsia="en-IE"/>
        </w:rPr>
        <w:t xml:space="preserve"> the re-operation rate was reported to be 11.8%. Where further surgery was required, pharyngoplasty was the operative technique of choice.</w:t>
      </w:r>
      <w:r w:rsidR="002B414F">
        <w:rPr>
          <w:lang w:eastAsia="en-IE"/>
        </w:rPr>
        <w:fldChar w:fldCharType="begin" w:fldLock="1"/>
      </w:r>
      <w:r w:rsidR="00276744">
        <w:rPr>
          <w:lang w:eastAsia="en-IE"/>
        </w:rPr>
        <w:instrText>ADDIN CSL_CITATION {"citationItems":[{"id":"ITEM-1","itemData":{"DOI":"10.1597/1545-1569_2002_039_0295_PRRR_2.0.CO_2","ISSN":"1055-6656","abstract":"OBJECTIVE: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Journal","id":"ITEM-1","issue":"3","issued":{"date-parts":[["2002","5"]]},"page":"295-307","publisher":"SAGE Publications","title":"Palate Re-Repair Revisited","type":"article-journal","volume":"39"},"uris":["http://www.mendeley.com/documents/?uuid=f5614a92-f4b2-3284-bded-3c97decb1ac5"]}],"mendeley":{"formattedCitation":"&lt;sup&gt;4&lt;/sup&gt;","plainTextFormattedCitation":"4","previouslyFormattedCitation":"&lt;sup&gt;4&lt;/sup&gt;"},"properties":{"noteIndex":0},"schema":"https://github.com/citation-style-language/schema/raw/master/csl-citation.json"}</w:instrText>
      </w:r>
      <w:r w:rsidR="002B414F">
        <w:rPr>
          <w:lang w:eastAsia="en-IE"/>
        </w:rPr>
        <w:fldChar w:fldCharType="separate"/>
      </w:r>
      <w:r w:rsidR="00060656" w:rsidRPr="00060656">
        <w:rPr>
          <w:noProof/>
          <w:vertAlign w:val="superscript"/>
          <w:lang w:eastAsia="en-IE"/>
        </w:rPr>
        <w:t>4</w:t>
      </w:r>
      <w:r w:rsidR="002B414F">
        <w:rPr>
          <w:lang w:eastAsia="en-IE"/>
        </w:rPr>
        <w:fldChar w:fldCharType="end"/>
      </w:r>
      <w:r w:rsidR="002B414F">
        <w:rPr>
          <w:lang w:eastAsia="en-IE"/>
        </w:rPr>
        <w:t xml:space="preserve"> In another study where z-</w:t>
      </w:r>
      <w:proofErr w:type="spellStart"/>
      <w:r w:rsidR="002B414F">
        <w:rPr>
          <w:lang w:eastAsia="en-IE"/>
        </w:rPr>
        <w:t>plasty</w:t>
      </w:r>
      <w:proofErr w:type="spellEnd"/>
      <w:r w:rsidR="002B414F">
        <w:rPr>
          <w:lang w:eastAsia="en-IE"/>
        </w:rPr>
        <w:t xml:space="preserve"> of the palate was performed for palate re-repair, 12% required subsequent pharyngoplasty or pharyngeal flap surgery.</w:t>
      </w:r>
      <w:r w:rsidR="002B414F">
        <w:rPr>
          <w:lang w:eastAsia="en-IE"/>
        </w:rPr>
        <w:fldChar w:fldCharType="begin" w:fldLock="1"/>
      </w:r>
      <w:r w:rsidR="00276744">
        <w:rPr>
          <w:lang w:eastAsia="en-IE"/>
        </w:rPr>
        <w:instrText>ADDIN CSL_CITATION {"citationItems":[{"id":"ITEM-1","itemData":{"DOI":"10.1097/SCS.0000000000007343","ISSN":"15363732","PMID":"33705010","abstract":"BACKGROUND: Velopharyngeal insufficiency (VPI) often results from palatal shortening or insufficient levator function after cleft palate repair. AIMS: To assess the efficacy of palatal re-repair with Z-plasty in treatment of VPI for patients with isolated cleft palate (ICP). METHODS: This retrospective analysis comprised 130 consecutive patients who had ICP with VPI that required Z-plasty as secondary surgery between 2008 and 2017. Pre- and post-operative evaluation of velopharyngeal function was done perceptually and instrumentally by Nasometer. RESULTS: Median patient age at Z-plasty was 6.8 years (range 3.0-20.1). Of the 130 patients, preoperatively VPI was severe in 73 (56%), mild-to-moderate in 55 (42%), and borderline in 2 (2%). Postoperatively, 105 (81%) of patients achieved adequate (normal or borderline) velopharyngeal competence and 16 (12%) required second operation for residual VPI. The success rate was 84% in nonsyndromic patients, 79% in nonsyndromic Pierre Robin sequence patients, and 58% in syndromic patients. In syndromic children, the speech outcome was significantly worse than in nonsyndromic children (P = 0.014). Complications included wound healing problems in 3 patients (2%), mild infection in 1 patient (1%), postoperative bleeding in 1 (1%), and postoperative fistula in 2 (2%). CONCLUSION: Palatal re-repair with Z-plasty is a safe operation for VPI correction in patients with ICP with a success rate of 81%. In syndromic patients, the procedure did not seem to work as well as in nonsyndromic patients.","author":[{"dropping-particle":"","family":"Ahti","given":"Veera","non-dropping-particle":"","parse-names":false,"suffix":""},{"dropping-particle":"","family":"Alaluusua","given":"Suvi","non-dropping-particle":"","parse-names":false,"suffix":""},{"dropping-particle":"","family":"Vuola","given":"Pia","non-dropping-particle":"","parse-names":false,"suffix":""},{"dropping-particle":"","family":"Rautio","given":"Jorma","non-dropping-particle":"","parse-names":false,"suffix":""},{"dropping-particle":"","family":"Leikola","given":"Junnu","non-dropping-particle":"","parse-names":false,"suffix":""},{"dropping-particle":"","family":"Saarikko","given":"Anne","non-dropping-particle":"","parse-names":false,"suffix":""}],"container-title":"The Journal of craniofacial surgery","id":"ITEM-1","issue":"2","issued":{"date-parts":[["2021","3","1"]]},"page":"685-690","publisher":"NLM (Medline)","title":"Palatal Re-Repair With Z-Plasty in Treatment of Velopharyngeal Insufficiency of Syndromic and Nonsyndromic Patients With Cleft Palate","type":"article-journal","volume":"32"},"uris":["http://www.mendeley.com/documents/?uuid=72248f4c-8db1-3968-b4e0-dbab36962aca"]}],"mendeley":{"formattedCitation":"&lt;sup&gt;7&lt;/sup&gt;","plainTextFormattedCitation":"7","previouslyFormattedCitation":"&lt;sup&gt;7&lt;/sup&gt;"},"properties":{"noteIndex":0},"schema":"https://github.com/citation-style-language/schema/raw/master/csl-citation.json"}</w:instrText>
      </w:r>
      <w:r w:rsidR="002B414F">
        <w:rPr>
          <w:lang w:eastAsia="en-IE"/>
        </w:rPr>
        <w:fldChar w:fldCharType="separate"/>
      </w:r>
      <w:r w:rsidR="00060656" w:rsidRPr="00060656">
        <w:rPr>
          <w:noProof/>
          <w:vertAlign w:val="superscript"/>
          <w:lang w:eastAsia="en-IE"/>
        </w:rPr>
        <w:t>7</w:t>
      </w:r>
      <w:r w:rsidR="002B414F">
        <w:rPr>
          <w:lang w:eastAsia="en-IE"/>
        </w:rPr>
        <w:fldChar w:fldCharType="end"/>
      </w:r>
      <w:r w:rsidR="002B414F">
        <w:rPr>
          <w:lang w:eastAsia="en-IE"/>
        </w:rPr>
        <w:t xml:space="preserve"> A systematic review carried out in 2018 reported re-operation rates of between 6.1% and 18.6%, dependent on technique used.</w:t>
      </w:r>
      <w:r w:rsidR="002B414F">
        <w:rPr>
          <w:lang w:eastAsia="en-IE"/>
        </w:rPr>
        <w:fldChar w:fldCharType="begin" w:fldLock="1"/>
      </w:r>
      <w:r w:rsidR="00B55D7D">
        <w:rPr>
          <w:lang w:eastAsia="en-IE"/>
        </w:rPr>
        <w:instrText>ADDIN CSL_CITATION {"citationItems":[{"id":"ITEM-1","itemData":{"DOI":"10.1177/1055665617735102","ISSN":"15451569","PMID":"29437504","abstract":"Objective: This systematic review sought to evaluate the consensus in the literature regarding the surgical management of VPD and to determine whether a particular procedure results in superior speech outcome or less morbidity Design: A systematic review was carried out according to PRISMA-P guidelines. Systematic review software was used to facilitate 3-stage screening and data extraction by 2 reviewers. Setting: University teaching hospital. Patients, Participants: Studies that reported perceptual speech assessment or obstructive sleep apnea (OSA) in patients who had undergone surgery for VPD were included in the review. Interventions: Four categories of surgery for VPD were examined—pharyngeal flap, sphincter pharyngoplasty, palatoplasty, and posterior pharyngeal wall augmentation. Main outcome measures: Perceptual speech assessment, need for further surgery, and occurrence of OSA were the outcomes of interest. Results: Eighty-three relevant studies were identified, comprising data on 4011 patients. Pharyngeal flap was the most common procedure (64% of patients). Overall, 70.7% of patients attained normal resonance and 65.3% attained normal nasal emission. There was no notable difference in speech outcomes, need for further surgery, or occurrence of OSA across the 4 categories of surgery examined. Heterogeneous groups of patients were reported upon and a variety of perceptual speech assessment scales were used. Conclusions: There is a lack of consensus in the literature to guide procedure selection for patients with VPD. The development of a standardized minimum data set to record postoperative speech, OSA, and patient-reported outcomes is required.","author":[{"dropping-particle":"","family":"Blacam","given":"Catherine","non-dropping-particle":"de","parse-names":false,"suffix":""},{"dropping-particle":"","family":"Smith","given":"Susan","non-dropping-particle":"","parse-names":false,"suffix":""},{"dropping-particle":"","family":"Orr","given":"David","non-dropping-particle":"","parse-names":false,"suffix":""}],"container-title":"Cleft Palate-Craniofacial Journal","id":"ITEM-1","issue":"3","issued":{"date-parts":[["2018","3","1"]]},"page":"405-422","publisher":"SAGE Publications Ltd","title":"Surgery for velopharyngeal dysfunction: A systematic review of interventions and outcomes","type":"article-journal","volume":"55"},"uris":["http://www.mendeley.com/documents/?uuid=0652fba1-c83b-3e01-bfaf-c21773cb45dc"]}],"mendeley":{"formattedCitation":"&lt;sup&gt;9&lt;/sup&gt;","plainTextFormattedCitation":"9","previouslyFormattedCitation":"&lt;sup&gt;9&lt;/sup&gt;"},"properties":{"noteIndex":0},"schema":"https://github.com/citation-style-language/schema/raw/master/csl-citation.json"}</w:instrText>
      </w:r>
      <w:r w:rsidR="002B414F">
        <w:rPr>
          <w:lang w:eastAsia="en-IE"/>
        </w:rPr>
        <w:fldChar w:fldCharType="separate"/>
      </w:r>
      <w:r w:rsidR="00B55D7D" w:rsidRPr="00B55D7D">
        <w:rPr>
          <w:noProof/>
          <w:vertAlign w:val="superscript"/>
          <w:lang w:eastAsia="en-IE"/>
        </w:rPr>
        <w:t>9</w:t>
      </w:r>
      <w:r w:rsidR="002B414F">
        <w:rPr>
          <w:lang w:eastAsia="en-IE"/>
        </w:rPr>
        <w:fldChar w:fldCharType="end"/>
      </w:r>
      <w:r w:rsidR="002B414F">
        <w:rPr>
          <w:lang w:eastAsia="en-IE"/>
        </w:rPr>
        <w:t xml:space="preserve"> </w:t>
      </w:r>
      <w:r w:rsidR="00EB779B">
        <w:rPr>
          <w:lang w:eastAsia="en-IE"/>
        </w:rPr>
        <w:t>A further systematic review in 2020 reported re-operation rates to be 21% following CPR-R surgery.</w:t>
      </w:r>
      <w:r w:rsidR="00EB779B">
        <w:rPr>
          <w:lang w:eastAsia="en-IE"/>
        </w:rPr>
        <w:fldChar w:fldCharType="begin" w:fldLock="1"/>
      </w:r>
      <w:r w:rsidR="00B55D7D">
        <w:rPr>
          <w:lang w:eastAsia="en-IE"/>
        </w:rPr>
        <w:instrText>ADDIN CSL_CITATION {"citationItems":[{"id":"ITEM-1","itemData":{"DOI":"10.1177/1055665620902883","ISSN":"15451569","PMID":"32070129","abstract":"Background: Palate re-repair has been proposed as an effective treatment for velopharyngeal insufficiency (VPI) with a low risk of obstructive sleep apnea (OSA). The authors conducted a systematic review and meta-analysis to determine the proportion of patients achieving normal speech resonance following palate re-repair for VPI, the proportion developing OSA, and the criteria for patient selection that are associated with increased effectiveness. Methods: PubMed, Embase, and Scopus were searched from inception through April 2018 for English language articles evaluating palate re-repair for the treatment of VPI in patients with a repaired cleft palate. Inclusion criteria included reporting of hypernasality, nasal air emission, nasometry, additional VPI surgery, and/or OSA outcomes. Meta-analysis was conducted using random effects models. Risk of bias was assessed regarding criteria for patient selection, blinding of outcome assessors, and validity of speech assessment scale. Results: Eighteen studies met inclusion criteria. The incidence of achieving no consistent hypernasality follow palate re-repair was 61% (95% confidence interval [CI]: 44%-75%). The incidence of additional surgery for persistent VPI symptoms was 21% (95% CI: 12%-33%). The incidence of OSA was 28% (95% CI: 13%-49%). Criteria for selecting patients to undergo re-repair varied, with anterior/sagittal position of palatal muscles (33%) and small velopharyngeal gap (22%) being the most common. No specific patient selection criteria led to superior speech outcomes (P =.6572). Conclusions: Palate re-repair achieves normal speech resonance in many but not all patients with VPI. Further research is needed to identify the specific examination and imaging findings that predict successful correction of VPI with re-repair.","author":[{"dropping-particle":"","family":"Kurnik","given":"Nicole M.","non-dropping-particle":"","parse-names":false,"suffix":""},{"dropping-particle":"","family":"Weidler","given":"Erica M.","non-dropping-particle":"","parse-names":false,"suffix":""},{"dropping-particle":"","family":"Lien","given":"Kari M.","non-dropping-particle":"","parse-names":false,"suffix":""},{"dropping-particle":"","family":"Cordero","given":"Kelly N.","non-dropping-particle":"","parse-names":false,"suffix":""},{"dropping-particle":"","family":"Williams","given":"Jessica L.","non-dropping-particle":"","parse-names":false,"suffix":""},{"dropping-particle":"","family":"Temkit","given":"M’hamed","non-dropping-particle":"","parse-names":false,"suffix":""},{"dropping-particle":"","family":"Beals","given":"Stephen P.","non-dropping-particle":"","parse-names":false,"suffix":""},{"dropping-particle":"","family":"Singh","given":"Davinder J.","non-dropping-particle":"","parse-names":false,"suffix":""},{"dropping-particle":"","family":"Sitzman","given":"Thomas J.","non-dropping-particle":"","parse-names":false,"suffix":""}],"container-title":"Cleft Palate-Craniofacial Journal","id":"ITEM-1","issue":"7","issued":{"date-parts":[["2020","7","1"]]},"page":"860-871","publisher":"SAGE Publications Ltd","title":"The Effectiveness of Palate Re-Repair for Treating Velopharyngeal Insufficiency: A Systematic Review and Meta-Analysis","type":"article-journal","volume":"57"},"uris":["http://www.mendeley.com/documents/?uuid=47291599-8421-3338-8926-db2aa95a7156"]}],"mendeley":{"formattedCitation":"&lt;sup&gt;2&lt;/sup&gt;","plainTextFormattedCitation":"2","previouslyFormattedCitation":"&lt;sup&gt;2&lt;/sup&gt;"},"properties":{"noteIndex":0},"schema":"https://github.com/citation-style-language/schema/raw/master/csl-citation.json"}</w:instrText>
      </w:r>
      <w:r w:rsidR="00EB779B">
        <w:rPr>
          <w:lang w:eastAsia="en-IE"/>
        </w:rPr>
        <w:fldChar w:fldCharType="separate"/>
      </w:r>
      <w:r w:rsidR="00B55D7D" w:rsidRPr="00B55D7D">
        <w:rPr>
          <w:noProof/>
          <w:vertAlign w:val="superscript"/>
          <w:lang w:eastAsia="en-IE"/>
        </w:rPr>
        <w:t>2</w:t>
      </w:r>
      <w:r w:rsidR="00EB779B">
        <w:rPr>
          <w:lang w:eastAsia="en-IE"/>
        </w:rPr>
        <w:fldChar w:fldCharType="end"/>
      </w:r>
    </w:p>
    <w:p w14:paraId="0E4BBE03" w14:textId="3524514F" w:rsidR="00A9342F" w:rsidRDefault="002B414F" w:rsidP="009D7287">
      <w:pPr>
        <w:jc w:val="both"/>
        <w:rPr>
          <w:lang w:eastAsia="en-IE"/>
        </w:rPr>
      </w:pPr>
      <w:r>
        <w:rPr>
          <w:lang w:eastAsia="en-IE"/>
        </w:rPr>
        <w:t xml:space="preserve">It is worth noting that a significant proportion of studies excluded patients with syndromes from their dataset. </w:t>
      </w:r>
      <w:r w:rsidR="004C64BD">
        <w:rPr>
          <w:lang w:eastAsia="en-IE"/>
        </w:rPr>
        <w:t xml:space="preserve">As aforementioned, 5 of our re-operation patients were noted to have a diagnosed syndrome. As such, when syndrome patients are excluded, our re-operation rate was 14.9%. </w:t>
      </w:r>
      <w:r>
        <w:rPr>
          <w:lang w:eastAsia="en-IE"/>
        </w:rPr>
        <w:t>Our</w:t>
      </w:r>
      <w:r w:rsidR="004C64BD">
        <w:rPr>
          <w:lang w:eastAsia="en-IE"/>
        </w:rPr>
        <w:t xml:space="preserve"> overall</w:t>
      </w:r>
      <w:r>
        <w:rPr>
          <w:lang w:eastAsia="en-IE"/>
        </w:rPr>
        <w:t xml:space="preserve"> re-operation rate of 15.6% would therefore appear to be largely in keeping with the literature.</w:t>
      </w:r>
    </w:p>
    <w:p w14:paraId="4D5005EF" w14:textId="23025D40" w:rsidR="004C64BD" w:rsidRDefault="004C64BD" w:rsidP="009D7287">
      <w:pPr>
        <w:jc w:val="both"/>
        <w:rPr>
          <w:lang w:eastAsia="en-IE"/>
        </w:rPr>
      </w:pPr>
    </w:p>
    <w:p w14:paraId="2CC03213" w14:textId="60B904BD" w:rsidR="004C64BD" w:rsidRDefault="004C64BD" w:rsidP="009D7287">
      <w:pPr>
        <w:pStyle w:val="Heading2"/>
        <w:jc w:val="both"/>
        <w:rPr>
          <w:lang w:eastAsia="en-IE"/>
        </w:rPr>
      </w:pPr>
      <w:bookmarkStart w:id="22" w:name="_Toc129708566"/>
      <w:r>
        <w:rPr>
          <w:lang w:eastAsia="en-IE"/>
        </w:rPr>
        <w:t>Cleft type</w:t>
      </w:r>
      <w:bookmarkEnd w:id="22"/>
    </w:p>
    <w:p w14:paraId="2907D568" w14:textId="45BF8AAE" w:rsidR="009D7287" w:rsidRDefault="00B21906" w:rsidP="009D7287">
      <w:pPr>
        <w:jc w:val="both"/>
        <w:rPr>
          <w:lang w:eastAsia="en-IE"/>
        </w:rPr>
      </w:pPr>
      <w:r>
        <w:rPr>
          <w:lang w:eastAsia="en-IE"/>
        </w:rPr>
        <w:t>As outlined above, our patients were broadly categorised by cleft type into SMCP, CP, UCLP and BCLP groups.</w:t>
      </w:r>
      <w:r w:rsidR="007B10A2">
        <w:rPr>
          <w:lang w:eastAsia="en-IE"/>
        </w:rPr>
        <w:t xml:space="preserve"> Our findings of 7.2%, 54.6% 27.8% and 10.3% for SMCP, CP, UCLP and BCLP patients respectively mirror those of </w:t>
      </w:r>
      <w:r w:rsidR="009D7287">
        <w:rPr>
          <w:lang w:eastAsia="en-IE"/>
        </w:rPr>
        <w:t xml:space="preserve">the </w:t>
      </w:r>
      <w:proofErr w:type="spellStart"/>
      <w:r w:rsidR="009D7287">
        <w:rPr>
          <w:lang w:eastAsia="en-IE"/>
        </w:rPr>
        <w:t>Sommerlad</w:t>
      </w:r>
      <w:proofErr w:type="spellEnd"/>
      <w:r w:rsidR="007B10A2">
        <w:rPr>
          <w:lang w:eastAsia="en-IE"/>
        </w:rPr>
        <w:t>,</w:t>
      </w:r>
      <w:r w:rsidR="009D7287">
        <w:rPr>
          <w:lang w:eastAsia="en-IE"/>
        </w:rPr>
        <w:t xml:space="preserve"> where CP again accounted for 53% patients, and SMCP accounted for 5%.</w:t>
      </w:r>
      <w:r w:rsidR="009D7287">
        <w:rPr>
          <w:lang w:eastAsia="en-IE"/>
        </w:rPr>
        <w:fldChar w:fldCharType="begin" w:fldLock="1"/>
      </w:r>
      <w:r w:rsidR="00276744">
        <w:rPr>
          <w:lang w:eastAsia="en-IE"/>
        </w:rPr>
        <w:instrText>ADDIN CSL_CITATION {"citationItems":[{"id":"ITEM-1","itemData":{"DOI":"10.1597/1545-1569_2002_039_0295_PRRR_2.0.CO_2","ISSN":"1055-6656","abstract":"OBJECTIVE: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Journal","id":"ITEM-1","issue":"3","issued":{"date-parts":[["2002","5"]]},"page":"295-307","publisher":"SAGE Publications","title":"Palate Re-Repair Revisited","type":"article-journal","volume":"39"},"uris":["http://www.mendeley.com/documents/?uuid=f5614a92-f4b2-3284-bded-3c97decb1ac5"]}],"mendeley":{"formattedCitation":"&lt;sup&gt;4&lt;/sup&gt;","plainTextFormattedCitation":"4","previouslyFormattedCitation":"&lt;sup&gt;4&lt;/sup&gt;"},"properties":{"noteIndex":0},"schema":"https://github.com/citation-style-language/schema/raw/master/csl-citation.json"}</w:instrText>
      </w:r>
      <w:r w:rsidR="009D7287">
        <w:rPr>
          <w:lang w:eastAsia="en-IE"/>
        </w:rPr>
        <w:fldChar w:fldCharType="separate"/>
      </w:r>
      <w:r w:rsidR="00060656" w:rsidRPr="00060656">
        <w:rPr>
          <w:noProof/>
          <w:vertAlign w:val="superscript"/>
          <w:lang w:eastAsia="en-IE"/>
        </w:rPr>
        <w:t>4</w:t>
      </w:r>
      <w:r w:rsidR="009D7287">
        <w:rPr>
          <w:lang w:eastAsia="en-IE"/>
        </w:rPr>
        <w:fldChar w:fldCharType="end"/>
      </w:r>
      <w:r w:rsidR="009D7287">
        <w:rPr>
          <w:lang w:eastAsia="en-IE"/>
        </w:rPr>
        <w:t xml:space="preserve"> UCLP was present in 14-30% patients, and BCLP was present in 11-12% patients across the literature in studies where cleft type was broken down in a comparable manner </w:t>
      </w:r>
      <w:r w:rsidR="007F54F4">
        <w:rPr>
          <w:lang w:eastAsia="en-IE"/>
        </w:rPr>
        <w:t xml:space="preserve">to </w:t>
      </w:r>
      <w:r w:rsidR="009D7287">
        <w:rPr>
          <w:lang w:eastAsia="en-IE"/>
        </w:rPr>
        <w:t>those of this evaluation.</w:t>
      </w:r>
      <w:r w:rsidR="009D7287">
        <w:rPr>
          <w:lang w:eastAsia="en-IE"/>
        </w:rPr>
        <w:fldChar w:fldCharType="begin" w:fldLock="1"/>
      </w:r>
      <w:r w:rsidR="00276744">
        <w:rPr>
          <w:lang w:eastAsia="en-IE"/>
        </w:rPr>
        <w:instrText>ADDIN CSL_CITATION {"citationItems":[{"id":"ITEM-1","itemData":{"DOI":"10.1097/SCS.0000000000007514","ISSN":"15363732","PMID":"33705013","abstract":"ABSTRACT: Speech has a very significant impact on the life quality of people with cleft and lip palate. Restore tissue anatomy and functionality is the main aim of primary palatal surgery. Multiple factors are associated with successful handling, including the need for a velopharyngeal insufficiency (VPI) secondary surgery. The study's aim is to determine speech and velopharyngeal function outcomes in children with cleft palate operated in our institution and to determine VPI secondary surgery outcomes, if appropriate. Clinical records of nonsyndromic patients with cleft palate born between January 2009 and December 2012, who performed their multidisciplinary care on our institution, were analyzed retrospectively. One hundred forty-two patients received primary palatal surgery. Eighty (56%) were male and 62 (44%) female. Twenty-two had soft cleft palate, 9 hard and soft cleft palate, 84 unilateral, and 27 bilateral cleft lip and palate. Twelve percent of patients presented palatal fistula, with a significantly higher presentation in Soft Cleft Palate and Hard and Soft Cleft Palate. Twenty-seven patients (19%) had surgical indication for VPI correction, and 20 of them received VPI surgery, before school age. Cleft type and gender were significantly associated with VPI surgery indication rate. Postsurgery, 80% presented normal resonance. Nasal emission improved in 85% of patients. Nasometry decreased from 45% to 31%. Hyponasality increased by 10%. One case presented total flap dehiscence. Preoperative planning must be done carefully and individualized to succeed. Future prospective research that considers all the variables for a correct analysis is advisable, to improve our results.","author":[{"dropping-particle":"","family":"Carvajal Álvarez","given":"Drina C.","non-dropping-particle":"","parse-names":false,"suffix":""},{"dropping-particle":"","family":"Palomares-Aguilera","given":"Mirta M.","non-dropping-particle":"","parse-names":false,"suffix":""},{"dropping-particle":"","family":"Meneses Geldres","given":"María B.","non-dropping-particle":"","parse-names":false,"suffix":""},{"dropping-particle":"","family":"Villarroel Giugliano","given":"Carlos","non-dropping-particle":"","parse-names":false,"suffix":""}],"container-title":"The Journal of craniofacial surgery","id":"ITEM-1","issue":"2","issued":{"date-parts":[["2021","3","1"]]},"page":"698-704","publisher":"NLM (Medline)","title":"Primary Palatal Surgery in Nonsyndromic Cleft Palate Children and Velopharyngeal Insufficiency Correction Outcomes","type":"article-journal","volume":"32"},"uris":["http://www.mendeley.com/documents/?uuid=2927b337-c057-3c16-ae0d-9d4def311de1"]},{"id":"ITEM-2","itemData":{"DOI":"10.1597/1545-1569_2002_039_0295_PRRR_2.0.CO_2","ISSN":"1055-6656","abstract":"OBJECTIVE: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Journal","id":"ITEM-2","issue":"3","issued":{"date-parts":[["2002","5"]]},"page":"295-307","publisher":"SAGE Publications","title":"Palate Re-Repair Revisited","type":"article-journal","volume":"39"},"uris":["http://www.mendeley.com/documents/?uuid=f5614a92-f4b2-3284-bded-3c97decb1ac5"]}],"mendeley":{"formattedCitation":"&lt;sup&gt;4,8&lt;/sup&gt;","plainTextFormattedCitation":"4,8","previouslyFormattedCitation":"&lt;sup&gt;4,8&lt;/sup&gt;"},"properties":{"noteIndex":0},"schema":"https://github.com/citation-style-language/schema/raw/master/csl-citation.json"}</w:instrText>
      </w:r>
      <w:r w:rsidR="009D7287">
        <w:rPr>
          <w:lang w:eastAsia="en-IE"/>
        </w:rPr>
        <w:fldChar w:fldCharType="separate"/>
      </w:r>
      <w:r w:rsidR="00060656" w:rsidRPr="00060656">
        <w:rPr>
          <w:noProof/>
          <w:vertAlign w:val="superscript"/>
          <w:lang w:eastAsia="en-IE"/>
        </w:rPr>
        <w:t>4,8</w:t>
      </w:r>
      <w:r w:rsidR="009D7287">
        <w:rPr>
          <w:lang w:eastAsia="en-IE"/>
        </w:rPr>
        <w:fldChar w:fldCharType="end"/>
      </w:r>
      <w:r w:rsidR="009D7287" w:rsidRPr="004C64BD">
        <w:rPr>
          <w:lang w:eastAsia="en-IE"/>
        </w:rPr>
        <w:t xml:space="preserve"> </w:t>
      </w:r>
    </w:p>
    <w:p w14:paraId="7056D676" w14:textId="2E0174F3" w:rsidR="00DC2377" w:rsidRDefault="009D7287" w:rsidP="00DC2377">
      <w:pPr>
        <w:jc w:val="both"/>
        <w:rPr>
          <w:lang w:eastAsia="en-IE"/>
        </w:rPr>
      </w:pPr>
      <w:r>
        <w:rPr>
          <w:lang w:eastAsia="en-IE"/>
        </w:rPr>
        <w:t xml:space="preserve">The CP subgroup of cleft patients were the most numerous in terms of requiring further surgery. However, it is likely that this is </w:t>
      </w:r>
      <w:proofErr w:type="gramStart"/>
      <w:r>
        <w:rPr>
          <w:lang w:eastAsia="en-IE"/>
        </w:rPr>
        <w:t>owing to the fact that</w:t>
      </w:r>
      <w:proofErr w:type="gramEnd"/>
      <w:r>
        <w:rPr>
          <w:lang w:eastAsia="en-IE"/>
        </w:rPr>
        <w:t xml:space="preserve"> this is also the most frequent cleft subtype within our cohort. This finding is echoed by a recent study, which </w:t>
      </w:r>
      <w:r w:rsidR="00DC2377">
        <w:rPr>
          <w:lang w:eastAsia="en-IE"/>
        </w:rPr>
        <w:t xml:space="preserve">also </w:t>
      </w:r>
      <w:r>
        <w:rPr>
          <w:lang w:eastAsia="en-IE"/>
        </w:rPr>
        <w:t xml:space="preserve">found </w:t>
      </w:r>
      <w:r w:rsidR="00DC2377">
        <w:rPr>
          <w:lang w:eastAsia="en-IE"/>
        </w:rPr>
        <w:t>the CP subdivision to most frequently require re-operation.</w:t>
      </w:r>
      <w:r w:rsidR="00DC2377">
        <w:rPr>
          <w:lang w:eastAsia="en-IE"/>
        </w:rPr>
        <w:fldChar w:fldCharType="begin" w:fldLock="1"/>
      </w:r>
      <w:r w:rsidR="00276744">
        <w:rPr>
          <w:lang w:eastAsia="en-IE"/>
        </w:rPr>
        <w:instrText>ADDIN CSL_CITATION {"citationItems":[{"id":"ITEM-1","itemData":{"DOI":"10.1097/SCS.0000000000007514","ISSN":"15363732","PMID":"33705013","abstract":"ABSTRACT: Speech has a very significant impact on the life quality of people with cleft and lip palate. Restore tissue anatomy and functionality is the main aim of primary palatal surgery. Multiple factors are associated with successful handling, including the need for a velopharyngeal insufficiency (VPI) secondary surgery. The study's aim is to determine speech and velopharyngeal function outcomes in children with cleft palate operated in our institution and to determine VPI secondary surgery outcomes, if appropriate. Clinical records of nonsyndromic patients with cleft palate born between January 2009 and December 2012, who performed their multidisciplinary care on our institution, were analyzed retrospectively. One hundred forty-two patients received primary palatal surgery. Eighty (56%) were male and 62 (44%) female. Twenty-two had soft cleft palate, 9 hard and soft cleft palate, 84 unilateral, and 27 bilateral cleft lip and palate. Twelve percent of patients presented palatal fistula, with a significantly higher presentation in Soft Cleft Palate and Hard and Soft Cleft Palate. Twenty-seven patients (19%) had surgical indication for VPI correction, and 20 of them received VPI surgery, before school age. Cleft type and gender were significantly associated with VPI surgery indication rate. Postsurgery, 80% presented normal resonance. Nasal emission improved in 85% of patients. Nasometry decreased from 45% to 31%. Hyponasality increased by 10%. One case presented total flap dehiscence. Preoperative planning must be done carefully and individualized to succeed. Future prospective research that considers all the variables for a correct analysis is advisable, to improve our results.","author":[{"dropping-particle":"","family":"Carvajal Álvarez","given":"Drina C.","non-dropping-particle":"","parse-names":false,"suffix":""},{"dropping-particle":"","family":"Palomares-Aguilera","given":"Mirta M.","non-dropping-particle":"","parse-names":false,"suffix":""},{"dropping-particle":"","family":"Meneses Geldres","given":"María B.","non-dropping-particle":"","parse-names":false,"suffix":""},{"dropping-particle":"","family":"Villarroel Giugliano","given":"Carlos","non-dropping-particle":"","parse-names":false,"suffix":""}],"container-title":"The Journal of craniofacial surgery","id":"ITEM-1","issue":"2","issued":{"date-parts":[["2021","3","1"]]},"page":"698-704","publisher":"NLM (Medline)","title":"Primary Palatal Surgery in Nonsyndromic Cleft Palate Children and Velopharyngeal Insufficiency Correction Outcomes","type":"article-journal","volume":"32"},"uris":["http://www.mendeley.com/documents/?uuid=2927b337-c057-3c16-ae0d-9d4def311de1"]}],"mendeley":{"formattedCitation":"&lt;sup&gt;8&lt;/sup&gt;","plainTextFormattedCitation":"8","previouslyFormattedCitation":"&lt;sup&gt;8&lt;/sup&gt;"},"properties":{"noteIndex":0},"schema":"https://github.com/citation-style-language/schema/raw/master/csl-citation.json"}</w:instrText>
      </w:r>
      <w:r w:rsidR="00DC2377">
        <w:rPr>
          <w:lang w:eastAsia="en-IE"/>
        </w:rPr>
        <w:fldChar w:fldCharType="separate"/>
      </w:r>
      <w:r w:rsidR="00060656" w:rsidRPr="00060656">
        <w:rPr>
          <w:noProof/>
          <w:vertAlign w:val="superscript"/>
          <w:lang w:eastAsia="en-IE"/>
        </w:rPr>
        <w:t>8</w:t>
      </w:r>
      <w:r w:rsidR="00DC2377">
        <w:rPr>
          <w:lang w:eastAsia="en-IE"/>
        </w:rPr>
        <w:fldChar w:fldCharType="end"/>
      </w:r>
    </w:p>
    <w:p w14:paraId="35BC7CD7" w14:textId="1B0E0C44" w:rsidR="00DC2377" w:rsidRDefault="00DC2377" w:rsidP="00DC2377">
      <w:pPr>
        <w:jc w:val="both"/>
        <w:rPr>
          <w:lang w:eastAsia="en-IE"/>
        </w:rPr>
      </w:pPr>
    </w:p>
    <w:p w14:paraId="04F93D1C" w14:textId="7349C9F0" w:rsidR="00DC2377" w:rsidRDefault="00DC2377" w:rsidP="00DC2377">
      <w:pPr>
        <w:pStyle w:val="Heading2"/>
        <w:rPr>
          <w:lang w:eastAsia="en-IE"/>
        </w:rPr>
      </w:pPr>
      <w:bookmarkStart w:id="23" w:name="_Toc129708567"/>
      <w:r>
        <w:rPr>
          <w:lang w:eastAsia="en-IE"/>
        </w:rPr>
        <w:t>Speech outcomes</w:t>
      </w:r>
      <w:bookmarkEnd w:id="23"/>
    </w:p>
    <w:p w14:paraId="70D4FE69" w14:textId="3F023AA0" w:rsidR="00DC2377" w:rsidRDefault="00DC2377" w:rsidP="00DC2377">
      <w:pPr>
        <w:jc w:val="both"/>
        <w:rPr>
          <w:lang w:eastAsia="en-IE"/>
        </w:rPr>
      </w:pPr>
      <w:r>
        <w:rPr>
          <w:lang w:eastAsia="en-IE"/>
        </w:rPr>
        <w:t xml:space="preserve">GOS.SP.ASS scores were analysed for the patients in our cohort, with a focus on hypernasality, </w:t>
      </w:r>
      <w:proofErr w:type="spellStart"/>
      <w:r>
        <w:rPr>
          <w:lang w:eastAsia="en-IE"/>
        </w:rPr>
        <w:t>hyponasality</w:t>
      </w:r>
      <w:proofErr w:type="spellEnd"/>
      <w:r>
        <w:rPr>
          <w:lang w:eastAsia="en-IE"/>
        </w:rPr>
        <w:t xml:space="preserve">, nasal emission and nasal turbulence </w:t>
      </w:r>
      <w:proofErr w:type="gramStart"/>
      <w:r>
        <w:rPr>
          <w:lang w:eastAsia="en-IE"/>
        </w:rPr>
        <w:t>in order to</w:t>
      </w:r>
      <w:proofErr w:type="gramEnd"/>
      <w:r>
        <w:rPr>
          <w:lang w:eastAsia="en-IE"/>
        </w:rPr>
        <w:t xml:space="preserve"> enable comparison with the findings of the literature. Additionally, as alluded to above, GOS.SP.ASS and CAPS-A scores are directly comparable and allow comparison with the findings of papers published outside of the UK, where GOS.SP.ASS is considered the acceptable standard for speech outcome measurement.</w:t>
      </w:r>
      <w:r>
        <w:rPr>
          <w:lang w:eastAsia="en-IE"/>
        </w:rPr>
        <w:fldChar w:fldCharType="begin" w:fldLock="1"/>
      </w:r>
      <w:r w:rsidR="00276744">
        <w:rPr>
          <w:lang w:eastAsia="en-IE"/>
        </w:rPr>
        <w:instrText>ADDIN CSL_CITATION {"citationItems":[{"id":"ITEM-1","itemData":{"DOI":"10.1080/136828299247595","ISSN":"13682822","PMID":"10505144","abstract":"In 1994 the present authors proposed a speech assessment protocol for speech disorders associated with cleft palate and/or velopharyngeal dysfunction known as GOS.SP.ASS. (Great Ormond Street Speech Assessment). In a recent survey undertaken to review the different speech assessment protocols used in six cleft palate centres in the UK, GOS.SP.ASS. was selected from six protocols as the optimal procedure for clinical and research purposes. The process of identifying an optimal procedure involved analysis of completed forms for each assessment. Analysis of the completed GOS.SP.ASS. forms revealed significant ambiguities in the protocol which led to differences in form completion. This paper describes important revisions to the original GOS.SP.ASS. protocol in order to ensure comparable data from different clinicians. This detailed speech assessment is now complemented by the Cleft Audit Protocol for Speech (CAPS), a tool recommended for clinical audit. As a result of close collaboration in their preparation, the results are directly comparable. In addition, the speech elicitation sentences and the phonetic diagram have been modified.","author":[{"dropping-particle":"","family":"Grunwell","given":"Debbie Sell Anne Harding Pamela","non-dropping-particle":"","parse-names":false,"suffix":""}],"container-title":"International Journal of Language and Communication Disorders","id":"ITEM-1","issue":"1","issued":{"date-parts":[["1999"]]},"page":"17-33","publisher":"Taylor and Francis Ltd","title":"GOS.SP.ASS.'98: An assessment for speech disorders associated with cleft palate and/or velopharyngeal dysfunction (revised)","type":"article-journal","volume":"34"},"uris":["http://www.mendeley.com/documents/?uuid=f9f28774-5245-39ff-8e33-06edca79db1b"]}],"mendeley":{"formattedCitation":"&lt;sup&gt;6&lt;/sup&gt;","plainTextFormattedCitation":"6","previouslyFormattedCitation":"&lt;sup&gt;6&lt;/sup&gt;"},"properties":{"noteIndex":0},"schema":"https://github.com/citation-style-language/schema/raw/master/csl-citation.json"}</w:instrText>
      </w:r>
      <w:r>
        <w:rPr>
          <w:lang w:eastAsia="en-IE"/>
        </w:rPr>
        <w:fldChar w:fldCharType="separate"/>
      </w:r>
      <w:r w:rsidR="00060656" w:rsidRPr="00060656">
        <w:rPr>
          <w:noProof/>
          <w:vertAlign w:val="superscript"/>
          <w:lang w:eastAsia="en-IE"/>
        </w:rPr>
        <w:t>6</w:t>
      </w:r>
      <w:r>
        <w:rPr>
          <w:lang w:eastAsia="en-IE"/>
        </w:rPr>
        <w:fldChar w:fldCharType="end"/>
      </w:r>
      <w:r>
        <w:rPr>
          <w:lang w:eastAsia="en-IE"/>
        </w:rPr>
        <w:t xml:space="preserve"> Our GOS.SP.ASS scores were recorded by specialist speech and language therapists, with considerable experience in providing care to cleft patients. GOS.SP.ASS and CAPS-A scores have been found to show high consistency between examiners, with minimal inter-examiner variability.</w:t>
      </w:r>
      <w:r>
        <w:rPr>
          <w:lang w:eastAsia="en-IE"/>
        </w:rPr>
        <w:fldChar w:fldCharType="begin" w:fldLock="1"/>
      </w:r>
      <w:r w:rsidR="00276744">
        <w:rPr>
          <w:lang w:eastAsia="en-IE"/>
        </w:rPr>
        <w:instrText>ADDIN CSL_CITATION {"citationItems":[{"id":"ITEM-1","itemData":{"DOI":"10.1597/04-141.1","ISSN":"1055-6656","PMID":"16681400","abstract":"OBJECTIVES To develop an assessment tool for use in intercenter audit studies of cleft speech and to test its acceptability, validity, and reliability. The tool is to be used systematically to record and report speech outcomes, providing an indication of treatment needs and continuing burden of care. SETTING Regional Cleft Center, U.K. METHODS The Cleft Audit Protocol for Speech-Augmented (CAPS-A) was developed by three cleft speech experts who identified the key features required from existing assessment measures. Criterion validity was assessed by comparing the Cleft Audit Protocol for Speech-Augmented outcomes reported for 20 cases with clinical assessment results and other investigations. Intra- and interrater reliability were tested following the training of specialist speech and language therapists who used the Cleft Audit Protocol for Speech-Augmented on two occasions to assess 10 cases. The raters evaluated acceptability and ease of using a questionnaire. RESULTS The mean percentage agreement for criterion validity in each section was 87% (range 70% to 100%). Both intra- and interexaminer reliability were rated as good/very good (Kappa 0.61 to 1.00) for seven sections and moderate (Kappa 0.41 to 0.60) for three sections. Raters reported that the Cleft Audit Protocol for Speech-Augmented was acceptable and easy to use with appropriate training. CONCLUSION An acceptable, valid, and reliable cleft speech audit tool has been developed based on a small sample. The Cleft Audit Protocol for Speech-Augmented is recommended for use in intercenter audit studies in the U.K. and Ireland and could be used in other English-speaking countries. In addition, it has wider applicability for use in reporting speech outcomes of surgical procedures.","author":[{"dropping-particle":"","family":"John","given":"Alexandra","non-dropping-particle":"","parse-names":false,"suffix":""},{"dropping-particle":"","family":"Sell","given":"Debbie","non-dropping-particle":"","parse-names":false,"suffix":""},{"dropping-particle":"","family":"Sweeney","given":"Triona","non-dropping-particle":"","parse-names":false,"suffix":""},{"dropping-particle":"","family":"Harding-Bell","given":"Anne","non-dropping-particle":"","parse-names":false,"suffix":""},{"dropping-particle":"","family":"Williams","given":"Alison","non-dropping-particle":"","parse-names":false,"suffix":""}],"container-title":"The Cleft Palate-Craniofacial Journal","id":"ITEM-1","issue":"3","issued":{"date-parts":[["2006","5"]]},"page":"272-288","publisher":"SAGE Publications","title":"The Cleft Audit Protocol for Speech—Augmented: A Validated and Reliable Measure for Auditing Cleft Speech","type":"article-journal","volume":"43"},"uris":["http://www.mendeley.com/documents/?uuid=208555da-367c-32ea-aa2b-ccce44e20acf"]}],"mendeley":{"formattedCitation":"&lt;sup&gt;5&lt;/sup&gt;","plainTextFormattedCitation":"5","previouslyFormattedCitation":"&lt;sup&gt;5&lt;/sup&gt;"},"properties":{"noteIndex":0},"schema":"https://github.com/citation-style-language/schema/raw/master/csl-citation.json"}</w:instrText>
      </w:r>
      <w:r>
        <w:rPr>
          <w:lang w:eastAsia="en-IE"/>
        </w:rPr>
        <w:fldChar w:fldCharType="separate"/>
      </w:r>
      <w:r w:rsidR="00060656" w:rsidRPr="00060656">
        <w:rPr>
          <w:noProof/>
          <w:vertAlign w:val="superscript"/>
          <w:lang w:eastAsia="en-IE"/>
        </w:rPr>
        <w:t>5</w:t>
      </w:r>
      <w:r>
        <w:rPr>
          <w:lang w:eastAsia="en-IE"/>
        </w:rPr>
        <w:fldChar w:fldCharType="end"/>
      </w:r>
      <w:r>
        <w:rPr>
          <w:lang w:eastAsia="en-IE"/>
        </w:rPr>
        <w:t xml:space="preserve"> Therefore,  although our patients were not all evaluated by the same speech and language therapist, if variability is low, a meaningful comparison between patients can still be made. </w:t>
      </w:r>
      <w:r w:rsidR="004466EF">
        <w:rPr>
          <w:lang w:eastAsia="en-IE"/>
        </w:rPr>
        <w:t xml:space="preserve">Results were found to be statistically significant for hypernasality (p &lt; 0.00001), nasal emission (p &lt; 0.00001) and nasal turbulence (p = 0.0001). </w:t>
      </w:r>
      <w:proofErr w:type="spellStart"/>
      <w:r w:rsidR="004466EF">
        <w:rPr>
          <w:lang w:eastAsia="en-IE"/>
        </w:rPr>
        <w:t>Hyponasality</w:t>
      </w:r>
      <w:proofErr w:type="spellEnd"/>
      <w:r w:rsidR="004466EF">
        <w:rPr>
          <w:lang w:eastAsia="en-IE"/>
        </w:rPr>
        <w:t xml:space="preserve"> results were not statistically significant (p = 0.0703). Statistical significan</w:t>
      </w:r>
      <w:r w:rsidR="00276744">
        <w:rPr>
          <w:lang w:eastAsia="en-IE"/>
        </w:rPr>
        <w:t>ce</w:t>
      </w:r>
      <w:r w:rsidR="004466EF">
        <w:rPr>
          <w:lang w:eastAsia="en-IE"/>
        </w:rPr>
        <w:t xml:space="preserve"> </w:t>
      </w:r>
      <w:r w:rsidR="00276744">
        <w:rPr>
          <w:lang w:eastAsia="en-IE"/>
        </w:rPr>
        <w:t>for hypernasality, nasal emission and nasal turbulence</w:t>
      </w:r>
      <w:r w:rsidR="004466EF">
        <w:rPr>
          <w:lang w:eastAsia="en-IE"/>
        </w:rPr>
        <w:t xml:space="preserve">, </w:t>
      </w:r>
      <w:r w:rsidR="00276744">
        <w:rPr>
          <w:lang w:eastAsia="en-IE"/>
        </w:rPr>
        <w:t xml:space="preserve">was found in </w:t>
      </w:r>
      <w:proofErr w:type="spellStart"/>
      <w:r w:rsidR="00276744">
        <w:rPr>
          <w:lang w:eastAsia="en-IE"/>
        </w:rPr>
        <w:t>Sommerlad’s</w:t>
      </w:r>
      <w:proofErr w:type="spellEnd"/>
      <w:r w:rsidR="00276744">
        <w:rPr>
          <w:lang w:eastAsia="en-IE"/>
        </w:rPr>
        <w:t xml:space="preserve"> 2002 study - which was</w:t>
      </w:r>
      <w:r w:rsidR="004466EF">
        <w:rPr>
          <w:lang w:eastAsia="en-IE"/>
        </w:rPr>
        <w:t xml:space="preserve"> </w:t>
      </w:r>
      <w:r w:rsidR="00276744">
        <w:rPr>
          <w:lang w:eastAsia="en-IE"/>
        </w:rPr>
        <w:t xml:space="preserve">similarly </w:t>
      </w:r>
      <w:r w:rsidR="004466EF">
        <w:rPr>
          <w:lang w:eastAsia="en-IE"/>
        </w:rPr>
        <w:t>evaluated using the Wilcoxon signed-ranked tes</w:t>
      </w:r>
      <w:r w:rsidR="00276744">
        <w:rPr>
          <w:lang w:eastAsia="en-IE"/>
        </w:rPr>
        <w:t>t.</w:t>
      </w:r>
      <w:r w:rsidR="00276744">
        <w:rPr>
          <w:lang w:eastAsia="en-IE"/>
        </w:rPr>
        <w:fldChar w:fldCharType="begin" w:fldLock="1"/>
      </w:r>
      <w:r w:rsidR="00276744">
        <w:rPr>
          <w:lang w:eastAsia="en-IE"/>
        </w:rPr>
        <w:instrText>ADDIN CSL_CITATION {"citationItems":[{"id":"ITEM-1","itemData":{"DOI":"10.1597/1545-1569_2002_039_0295_PRRR_2.0.CO_2","ISSN":"1055-6656","abstract":"OBJECTIVE: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Journal","id":"ITEM-1","issue":"3","issued":{"date-parts":[["2002","5"]]},"page":"295-307","publisher":"SAGE Publications","title":"Palate Re-Repair Revisited","type":"article-journal","volume":"39"},"uris":["http://www.mendeley.com/documents/?uuid=f5614a92-f4b2-3284-bded-3c97decb1ac5"]}],"mendeley":{"formattedCitation":"&lt;sup&gt;4&lt;/sup&gt;","plainTextFormattedCitation":"4","previouslyFormattedCitation":"&lt;sup&gt;4&lt;/sup&gt;"},"properties":{"noteIndex":0},"schema":"https://github.com/citation-style-language/schema/raw/master/csl-citation.json"}</w:instrText>
      </w:r>
      <w:r w:rsidR="00276744">
        <w:rPr>
          <w:lang w:eastAsia="en-IE"/>
        </w:rPr>
        <w:fldChar w:fldCharType="separate"/>
      </w:r>
      <w:r w:rsidR="00276744" w:rsidRPr="00276744">
        <w:rPr>
          <w:noProof/>
          <w:vertAlign w:val="superscript"/>
          <w:lang w:eastAsia="en-IE"/>
        </w:rPr>
        <w:t>4</w:t>
      </w:r>
      <w:r w:rsidR="00276744">
        <w:rPr>
          <w:lang w:eastAsia="en-IE"/>
        </w:rPr>
        <w:fldChar w:fldCharType="end"/>
      </w:r>
      <w:r w:rsidR="00276744">
        <w:rPr>
          <w:lang w:eastAsia="en-IE"/>
        </w:rPr>
        <w:t xml:space="preserve"> Statistical significance was not found for </w:t>
      </w:r>
      <w:proofErr w:type="spellStart"/>
      <w:r w:rsidR="00276744">
        <w:rPr>
          <w:lang w:eastAsia="en-IE"/>
        </w:rPr>
        <w:t>hyponasality</w:t>
      </w:r>
      <w:proofErr w:type="spellEnd"/>
      <w:r w:rsidR="00276744">
        <w:rPr>
          <w:lang w:eastAsia="en-IE"/>
        </w:rPr>
        <w:t xml:space="preserve"> in this evaluation, nor in the comparable literature.</w:t>
      </w:r>
      <w:r w:rsidR="00276744">
        <w:rPr>
          <w:lang w:eastAsia="en-IE"/>
        </w:rPr>
        <w:fldChar w:fldCharType="begin" w:fldLock="1"/>
      </w:r>
      <w:r w:rsidR="00CC1DE1">
        <w:rPr>
          <w:lang w:eastAsia="en-IE"/>
        </w:rPr>
        <w:instrText>ADDIN CSL_CITATION {"citationItems":[{"id":"ITEM-1","itemData":{"DOI":"10.1597/1545-1569_2002_039_0295_PRRR_2.0.CO_2","ISSN":"1055-6656","abstract":"OBJECTIVE: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Journal","id":"ITEM-1","issue":"3","issued":{"date-parts":[["2002","5"]]},"page":"295-307","publisher":"SAGE Publications","title":"Palate Re-Repair Revisited","type":"article-journal","volume":"39"},"uris":["http://www.mendeley.com/documents/?uuid=f5614a92-f4b2-3284-bded-3c97decb1ac5"]}],"mendeley":{"formattedCitation":"&lt;sup&gt;4&lt;/sup&gt;","plainTextFormattedCitation":"4","previouslyFormattedCitation":"&lt;sup&gt;4&lt;/sup&gt;"},"properties":{"noteIndex":0},"schema":"https://github.com/citation-style-language/schema/raw/master/csl-citation.json"}</w:instrText>
      </w:r>
      <w:r w:rsidR="00276744">
        <w:rPr>
          <w:lang w:eastAsia="en-IE"/>
        </w:rPr>
        <w:fldChar w:fldCharType="separate"/>
      </w:r>
      <w:r w:rsidR="00276744" w:rsidRPr="00276744">
        <w:rPr>
          <w:noProof/>
          <w:vertAlign w:val="superscript"/>
          <w:lang w:eastAsia="en-IE"/>
        </w:rPr>
        <w:t>4</w:t>
      </w:r>
      <w:r w:rsidR="00276744">
        <w:rPr>
          <w:lang w:eastAsia="en-IE"/>
        </w:rPr>
        <w:fldChar w:fldCharType="end"/>
      </w:r>
    </w:p>
    <w:p w14:paraId="4A60D1B5" w14:textId="566664B7" w:rsidR="00DC2377" w:rsidRDefault="00DC2377" w:rsidP="00DC2377">
      <w:pPr>
        <w:pStyle w:val="Heading2"/>
        <w:rPr>
          <w:lang w:eastAsia="en-IE"/>
        </w:rPr>
      </w:pPr>
      <w:bookmarkStart w:id="24" w:name="_Toc129708568"/>
      <w:r>
        <w:rPr>
          <w:lang w:eastAsia="en-IE"/>
        </w:rPr>
        <w:t>Hypernasality</w:t>
      </w:r>
      <w:r w:rsidR="00EB779B">
        <w:rPr>
          <w:lang w:eastAsia="en-IE"/>
        </w:rPr>
        <w:t xml:space="preserve"> and </w:t>
      </w:r>
      <w:proofErr w:type="spellStart"/>
      <w:r w:rsidR="00EB779B">
        <w:rPr>
          <w:lang w:eastAsia="en-IE"/>
        </w:rPr>
        <w:t>hyponasality</w:t>
      </w:r>
      <w:bookmarkEnd w:id="24"/>
      <w:proofErr w:type="spellEnd"/>
    </w:p>
    <w:p w14:paraId="4F80E834" w14:textId="3E7A9095" w:rsidR="00DC2377" w:rsidRDefault="00DC2377" w:rsidP="00DC2377">
      <w:pPr>
        <w:jc w:val="both"/>
        <w:rPr>
          <w:lang w:eastAsia="en-IE"/>
        </w:rPr>
      </w:pPr>
      <w:r>
        <w:rPr>
          <w:lang w:eastAsia="en-IE"/>
        </w:rPr>
        <w:t xml:space="preserve">The most frequently evaluated speech outcome throughout the literature was hypernasality, due its bearing on intelligibility of speech. In 2002, </w:t>
      </w:r>
      <w:proofErr w:type="spellStart"/>
      <w:r>
        <w:rPr>
          <w:lang w:eastAsia="en-IE"/>
        </w:rPr>
        <w:t>Sommerlad</w:t>
      </w:r>
      <w:proofErr w:type="spellEnd"/>
      <w:r>
        <w:rPr>
          <w:lang w:eastAsia="en-IE"/>
        </w:rPr>
        <w:t xml:space="preserve"> reported that 82.4% patients had either normal or mild and inconsistent hypernasality, nasal emission or turbulence</w:t>
      </w:r>
      <w:r w:rsidR="00EB779B">
        <w:rPr>
          <w:lang w:eastAsia="en-IE"/>
        </w:rPr>
        <w:t>, following his description of the CPR-R technique in 1994.</w:t>
      </w:r>
      <w:r w:rsidR="00EB779B">
        <w:rPr>
          <w:lang w:eastAsia="en-IE"/>
        </w:rPr>
        <w:fldChar w:fldCharType="begin" w:fldLock="1"/>
      </w:r>
      <w:r w:rsidR="00276744">
        <w:rPr>
          <w:lang w:eastAsia="en-IE"/>
        </w:rPr>
        <w:instrText>ADDIN CSL_CITATION {"citationItems":[{"id":"ITEM-1","itemData":{"author":[{"dropping-particle":"","family":"Sommerlad","given":"B C","non-dropping-particle":"","parse-names":false,"suffix":""},{"dropping-particle":"","family":"Henley","given":"M","non-dropping-particle":"","parse-names":false,"suffix":""},{"dropping-particle":"","family":"Birch","given":"M","non-dropping-particle":"","parse-names":false,"suffix":""},{"dropping-particle":"","family":"Harland","given":"K","non-dropping-particle":"","parse-names":false,"suffix":""},{"dropping-particle":"","family":"Moiemen","given":"N","non-dropping-particle":"","parse-names":false,"suffix":""},{"dropping-particle":"","family":"Boorman","given":"J G","non-dropping-particle":"","parse-names":false,"suffix":""}],"id":"ITEM-1","issued":{"date-parts":[["0"]]},"title":"Cleft palate re-repair-a clinical and radiographic study of 32 consecutive cases","type":"article-journal"},"uris":["http://www.mendeley.com/documents/?uuid=a6cdcece-f6ff-34f0-b22a-a1beecacf8fe"]},{"id":"ITEM-2","itemData":{"DOI":"10.1597/1545-1569_2002_039_0295_PRRR_2.0.CO_2","ISSN":"1055-6656","abstract":"OBJECTIVE: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Journal","id":"ITEM-2","issue":"3","issued":{"date-parts":[["2002","5"]]},"page":"295-307","publisher":"SAGE Publications","title":"Palate Re-Repair Revisited","type":"article-journal","volume":"39"},"uris":["http://www.mendeley.com/documents/?uuid=f5614a92-f4b2-3284-bded-3c97decb1ac5"]}],"mendeley":{"formattedCitation":"&lt;sup&gt;3,4&lt;/sup&gt;","plainTextFormattedCitation":"3,4","previouslyFormattedCitation":"&lt;sup&gt;3,4&lt;/sup&gt;"},"properties":{"noteIndex":0},"schema":"https://github.com/citation-style-language/schema/raw/master/csl-citation.json"}</w:instrText>
      </w:r>
      <w:r w:rsidR="00EB779B">
        <w:rPr>
          <w:lang w:eastAsia="en-IE"/>
        </w:rPr>
        <w:fldChar w:fldCharType="separate"/>
      </w:r>
      <w:r w:rsidR="00060656" w:rsidRPr="00060656">
        <w:rPr>
          <w:noProof/>
          <w:vertAlign w:val="superscript"/>
          <w:lang w:eastAsia="en-IE"/>
        </w:rPr>
        <w:t>3,4</w:t>
      </w:r>
      <w:r w:rsidR="00EB779B">
        <w:rPr>
          <w:lang w:eastAsia="en-IE"/>
        </w:rPr>
        <w:fldChar w:fldCharType="end"/>
      </w:r>
      <w:r w:rsidR="00EB779B">
        <w:rPr>
          <w:lang w:eastAsia="en-IE"/>
        </w:rPr>
        <w:t xml:space="preserve"> More recently, </w:t>
      </w:r>
      <w:r w:rsidR="008F382B">
        <w:rPr>
          <w:lang w:eastAsia="en-IE"/>
        </w:rPr>
        <w:t xml:space="preserve">de </w:t>
      </w:r>
      <w:proofErr w:type="spellStart"/>
      <w:r w:rsidR="008F382B">
        <w:rPr>
          <w:lang w:eastAsia="en-IE"/>
        </w:rPr>
        <w:t>Blacam</w:t>
      </w:r>
      <w:proofErr w:type="spellEnd"/>
      <w:r w:rsidR="00EB779B">
        <w:rPr>
          <w:lang w:eastAsia="en-IE"/>
        </w:rPr>
        <w:t xml:space="preserve"> </w:t>
      </w:r>
      <w:r w:rsidR="00EB779B">
        <w:rPr>
          <w:i/>
          <w:iCs/>
          <w:lang w:eastAsia="en-IE"/>
        </w:rPr>
        <w:t>et al</w:t>
      </w:r>
      <w:r w:rsidR="00EB779B">
        <w:rPr>
          <w:lang w:eastAsia="en-IE"/>
        </w:rPr>
        <w:t>., described that 70.7% of their patients had normal nasality postoperatively.</w:t>
      </w:r>
      <w:r w:rsidR="008F382B">
        <w:rPr>
          <w:lang w:eastAsia="en-IE"/>
        </w:rPr>
        <w:fldChar w:fldCharType="begin" w:fldLock="1"/>
      </w:r>
      <w:r w:rsidR="00B55D7D">
        <w:rPr>
          <w:lang w:eastAsia="en-IE"/>
        </w:rPr>
        <w:instrText>ADDIN CSL_CITATION {"citationItems":[{"id":"ITEM-1","itemData":{"DOI":"10.1177/1055665617735102","ISSN":"15451569","PMID":"29437504","abstract":"Objective: This systematic review sought to evaluate the consensus in the literature regarding the surgical management of VPD and to determine whether a particular procedure results in superior speech outcome or less morbidity Design: A systematic review was carried out according to PRISMA-P guidelines. Systematic review software was used to facilitate 3-stage screening and data extraction by 2 reviewers. Setting: University teaching hospital. Patients, Participants: Studies that reported perceptual speech assessment or obstructive sleep apnea (OSA) in patients who had undergone surgery for VPD were included in the review. Interventions: Four categories of surgery for VPD were examined—pharyngeal flap, sphincter pharyngoplasty, palatoplasty, and posterior pharyngeal wall augmentation. Main outcome measures: Perceptual speech assessment, need for further surgery, and occurrence of OSA were the outcomes of interest. Results: Eighty-three relevant studies were identified, comprising data on 4011 patients. Pharyngeal flap was the most common procedure (64% of patients). Overall, 70.7% of patients attained normal resonance and 65.3% attained normal nasal emission. There was no notable difference in speech outcomes, need for further surgery, or occurrence of OSA across the 4 categories of surgery examined. Heterogeneous groups of patients were reported upon and a variety of perceptual speech assessment scales were used. Conclusions: There is a lack of consensus in the literature to guide procedure selection for patients with VPD. The development of a standardized minimum data set to record postoperative speech, OSA, and patient-reported outcomes is required.","author":[{"dropping-particle":"","family":"Blacam","given":"Catherine","non-dropping-particle":"de","parse-names":false,"suffix":""},{"dropping-particle":"","family":"Smith","given":"Susan","non-dropping-particle":"","parse-names":false,"suffix":""},{"dropping-particle":"","family":"Orr","given":"David","non-dropping-particle":"","parse-names":false,"suffix":""}],"container-title":"Cleft Palate-Craniofacial Journal","id":"ITEM-1","issue":"3","issued":{"date-parts":[["2018","3","1"]]},"page":"405-422","publisher":"SAGE Publications Ltd","title":"Surgery for velopharyngeal dysfunction: A systematic review of interventions and outcomes","type":"article-journal","volume":"55"},"uris":["http://www.mendeley.com/documents/?uuid=0652fba1-c83b-3e01-bfaf-c21773cb45dc"]}],"mendeley":{"formattedCitation":"&lt;sup&gt;9&lt;/sup&gt;","plainTextFormattedCitation":"9","previouslyFormattedCitation":"&lt;sup&gt;9&lt;/sup&gt;"},"properties":{"noteIndex":0},"schema":"https://github.com/citation-style-language/schema/raw/master/csl-citation.json"}</w:instrText>
      </w:r>
      <w:r w:rsidR="008F382B">
        <w:rPr>
          <w:lang w:eastAsia="en-IE"/>
        </w:rPr>
        <w:fldChar w:fldCharType="separate"/>
      </w:r>
      <w:r w:rsidR="00B55D7D" w:rsidRPr="00B55D7D">
        <w:rPr>
          <w:noProof/>
          <w:vertAlign w:val="superscript"/>
          <w:lang w:eastAsia="en-IE"/>
        </w:rPr>
        <w:t>9</w:t>
      </w:r>
      <w:r w:rsidR="008F382B">
        <w:rPr>
          <w:lang w:eastAsia="en-IE"/>
        </w:rPr>
        <w:fldChar w:fldCharType="end"/>
      </w:r>
      <w:r w:rsidR="00EB779B">
        <w:rPr>
          <w:lang w:eastAsia="en-IE"/>
        </w:rPr>
        <w:t xml:space="preserve"> In a systematic review and meta-analysis, the achieving of no consistent hypernasality following CPR-R surgery was 61%.</w:t>
      </w:r>
      <w:r w:rsidR="00EB779B">
        <w:rPr>
          <w:lang w:eastAsia="en-IE"/>
        </w:rPr>
        <w:fldChar w:fldCharType="begin" w:fldLock="1"/>
      </w:r>
      <w:r w:rsidR="00B55D7D">
        <w:rPr>
          <w:lang w:eastAsia="en-IE"/>
        </w:rPr>
        <w:instrText>ADDIN CSL_CITATION {"citationItems":[{"id":"ITEM-1","itemData":{"DOI":"10.1177/1055665620902883","ISSN":"15451569","PMID":"32070129","abstract":"Background: Palate re-repair has been proposed as an effective treatment for velopharyngeal insufficiency (VPI) with a low risk of obstructive sleep apnea (OSA). The authors conducted a systematic review and meta-analysis to determine the proportion of patients achieving normal speech resonance following palate re-repair for VPI, the proportion developing OSA, and the criteria for patient selection that are associated with increased effectiveness. Methods: PubMed, Embase, and Scopus were searched from inception through April 2018 for English language articles evaluating palate re-repair for the treatment of VPI in patients with a repaired cleft palate. Inclusion criteria included reporting of hypernasality, nasal air emission, nasometry, additional VPI surgery, and/or OSA outcomes. Meta-analysis was conducted using random effects models. Risk of bias was assessed regarding criteria for patient selection, blinding of outcome assessors, and validity of speech assessment scale. Results: Eighteen studies met inclusion criteria. The incidence of achieving no consistent hypernasality follow palate re-repair was 61% (95% confidence interval [CI]: 44%-75%). The incidence of additional surgery for persistent VPI symptoms was 21% (95% CI: 12%-33%). The incidence of OSA was 28% (95% CI: 13%-49%). Criteria for selecting patients to undergo re-repair varied, with anterior/sagittal position of palatal muscles (33%) and small velopharyngeal gap (22%) being the most common. No specific patient selection criteria led to superior speech outcomes (P =.6572). Conclusions: Palate re-repair achieves normal speech resonance in many but not all patients with VPI. Further research is needed to identify the specific examination and imaging findings that predict successful correction of VPI with re-repair.","author":[{"dropping-particle":"","family":"Kurnik","given":"Nicole M.","non-dropping-particle":"","parse-names":false,"suffix":""},{"dropping-particle":"","family":"Weidler","given":"Erica M.","non-dropping-particle":"","parse-names":false,"suffix":""},{"dropping-particle":"","family":"Lien","given":"Kari M.","non-dropping-particle":"","parse-names":false,"suffix":""},{"dropping-particle":"","family":"Cordero","given":"Kelly N.","non-dropping-particle":"","parse-names":false,"suffix":""},{"dropping-particle":"","family":"Williams","given":"Jessica L.","non-dropping-particle":"","parse-names":false,"suffix":""},{"dropping-particle":"","family":"Temkit","given":"M’hamed","non-dropping-particle":"","parse-names":false,"suffix":""},{"dropping-particle":"","family":"Beals","given":"Stephen P.","non-dropping-particle":"","parse-names":false,"suffix":""},{"dropping-particle":"","family":"Singh","given":"Davinder J.","non-dropping-particle":"","parse-names":false,"suffix":""},{"dropping-particle":"","family":"Sitzman","given":"Thomas J.","non-dropping-particle":"","parse-names":false,"suffix":""}],"container-title":"Cleft Palate-Craniofacial Journal","id":"ITEM-1","issue":"7","issued":{"date-parts":[["2020","7","1"]]},"page":"860-871","publisher":"SAGE Publications Ltd","title":"The Effectiveness of Palate Re-Repair for Treating Velopharyngeal Insufficiency: A Systematic Review and Meta-Analysis","type":"article-journal","volume":"57"},"uris":["http://www.mendeley.com/documents/?uuid=47291599-8421-3338-8926-db2aa95a7156"]}],"mendeley":{"formattedCitation":"&lt;sup&gt;2&lt;/sup&gt;","plainTextFormattedCitation":"2","previouslyFormattedCitation":"&lt;sup&gt;2&lt;/sup&gt;"},"properties":{"noteIndex":0},"schema":"https://github.com/citation-style-language/schema/raw/master/csl-citation.json"}</w:instrText>
      </w:r>
      <w:r w:rsidR="00EB779B">
        <w:rPr>
          <w:lang w:eastAsia="en-IE"/>
        </w:rPr>
        <w:fldChar w:fldCharType="separate"/>
      </w:r>
      <w:r w:rsidR="00B55D7D" w:rsidRPr="00B55D7D">
        <w:rPr>
          <w:noProof/>
          <w:vertAlign w:val="superscript"/>
          <w:lang w:eastAsia="en-IE"/>
        </w:rPr>
        <w:t>2</w:t>
      </w:r>
      <w:r w:rsidR="00EB779B">
        <w:rPr>
          <w:lang w:eastAsia="en-IE"/>
        </w:rPr>
        <w:fldChar w:fldCharType="end"/>
      </w:r>
      <w:r w:rsidR="00EB779B">
        <w:rPr>
          <w:lang w:eastAsia="en-IE"/>
        </w:rPr>
        <w:t xml:space="preserve"> However, the</w:t>
      </w:r>
      <w:r w:rsidR="000D2A0A">
        <w:rPr>
          <w:lang w:eastAsia="en-IE"/>
        </w:rPr>
        <w:t xml:space="preserve"> same review</w:t>
      </w:r>
      <w:r w:rsidR="00EB779B">
        <w:rPr>
          <w:lang w:eastAsia="en-IE"/>
        </w:rPr>
        <w:t xml:space="preserve"> also reported that achieving no hypernasality whatsoever postoperatively was even lower, at 53%.</w:t>
      </w:r>
      <w:r w:rsidR="00EB779B">
        <w:rPr>
          <w:lang w:eastAsia="en-IE"/>
        </w:rPr>
        <w:fldChar w:fldCharType="begin" w:fldLock="1"/>
      </w:r>
      <w:r w:rsidR="00B55D7D">
        <w:rPr>
          <w:lang w:eastAsia="en-IE"/>
        </w:rPr>
        <w:instrText>ADDIN CSL_CITATION {"citationItems":[{"id":"ITEM-1","itemData":{"DOI":"10.1177/1055665620902883","ISSN":"15451569","PMID":"32070129","abstract":"Background: Palate re-repair has been proposed as an effective treatment for velopharyngeal insufficiency (VPI) with a low risk of obstructive sleep apnea (OSA). The authors conducted a systematic review and meta-analysis to determine the proportion of patients achieving normal speech resonance following palate re-repair for VPI, the proportion developing OSA, and the criteria for patient selection that are associated with increased effectiveness. Methods: PubMed, Embase, and Scopus were searched from inception through April 2018 for English language articles evaluating palate re-repair for the treatment of VPI in patients with a repaired cleft palate. Inclusion criteria included reporting of hypernasality, nasal air emission, nasometry, additional VPI surgery, and/or OSA outcomes. Meta-analysis was conducted using random effects models. Risk of bias was assessed regarding criteria for patient selection, blinding of outcome assessors, and validity of speech assessment scale. Results: Eighteen studies met inclusion criteria. The incidence of achieving no consistent hypernasality follow palate re-repair was 61% (95% confidence interval [CI]: 44%-75%). The incidence of additional surgery for persistent VPI symptoms was 21% (95% CI: 12%-33%). The incidence of OSA was 28% (95% CI: 13%-49%). Criteria for selecting patients to undergo re-repair varied, with anterior/sagittal position of palatal muscles (33%) and small velopharyngeal gap (22%) being the most common. No specific patient selection criteria led to superior speech outcomes (P =.6572). Conclusions: Palate re-repair achieves normal speech resonance in many but not all patients with VPI. Further research is needed to identify the specific examination and imaging findings that predict successful correction of VPI with re-repair.","author":[{"dropping-particle":"","family":"Kurnik","given":"Nicole M.","non-dropping-particle":"","parse-names":false,"suffix":""},{"dropping-particle":"","family":"Weidler","given":"Erica M.","non-dropping-particle":"","parse-names":false,"suffix":""},{"dropping-particle":"","family":"Lien","given":"Kari M.","non-dropping-particle":"","parse-names":false,"suffix":""},{"dropping-particle":"","family":"Cordero","given":"Kelly N.","non-dropping-particle":"","parse-names":false,"suffix":""},{"dropping-particle":"","family":"Williams","given":"Jessica L.","non-dropping-particle":"","parse-names":false,"suffix":""},{"dropping-particle":"","family":"Temkit","given":"M’hamed","non-dropping-particle":"","parse-names":false,"suffix":""},{"dropping-particle":"","family":"Beals","given":"Stephen P.","non-dropping-particle":"","parse-names":false,"suffix":""},{"dropping-particle":"","family":"Singh","given":"Davinder J.","non-dropping-particle":"","parse-names":false,"suffix":""},{"dropping-particle":"","family":"Sitzman","given":"Thomas J.","non-dropping-particle":"","parse-names":false,"suffix":""}],"container-title":"Cleft Palate-Craniofacial Journal","id":"ITEM-1","issue":"7","issued":{"date-parts":[["2020","7","1"]]},"page":"860-871","publisher":"SAGE Publications Ltd","title":"The Effectiveness of Palate Re-Repair for Treating Velopharyngeal Insufficiency: A Systematic Review and Meta-Analysis","type":"article-journal","volume":"57"},"uris":["http://www.mendeley.com/documents/?uuid=47291599-8421-3338-8926-db2aa95a7156"]}],"mendeley":{"formattedCitation":"&lt;sup&gt;2&lt;/sup&gt;","plainTextFormattedCitation":"2","previouslyFormattedCitation":"&lt;sup&gt;2&lt;/sup&gt;"},"properties":{"noteIndex":0},"schema":"https://github.com/citation-style-language/schema/raw/master/csl-citation.json"}</w:instrText>
      </w:r>
      <w:r w:rsidR="00EB779B">
        <w:rPr>
          <w:lang w:eastAsia="en-IE"/>
        </w:rPr>
        <w:fldChar w:fldCharType="separate"/>
      </w:r>
      <w:r w:rsidR="00B55D7D" w:rsidRPr="00B55D7D">
        <w:rPr>
          <w:noProof/>
          <w:vertAlign w:val="superscript"/>
          <w:lang w:eastAsia="en-IE"/>
        </w:rPr>
        <w:t>2</w:t>
      </w:r>
      <w:r w:rsidR="00EB779B">
        <w:rPr>
          <w:lang w:eastAsia="en-IE"/>
        </w:rPr>
        <w:fldChar w:fldCharType="end"/>
      </w:r>
      <w:r w:rsidR="00EB779B">
        <w:rPr>
          <w:lang w:eastAsia="en-IE"/>
        </w:rPr>
        <w:t xml:space="preserve"> </w:t>
      </w:r>
    </w:p>
    <w:p w14:paraId="0524B0CB" w14:textId="3AD4BEEF" w:rsidR="00EB779B" w:rsidRDefault="008F382B" w:rsidP="00DC2377">
      <w:pPr>
        <w:jc w:val="both"/>
        <w:rPr>
          <w:lang w:eastAsia="en-IE"/>
        </w:rPr>
      </w:pPr>
      <w:r>
        <w:rPr>
          <w:lang w:eastAsia="en-IE"/>
        </w:rPr>
        <w:t xml:space="preserve">Our results in terms of hypernasality compare favourably to those of the literature. Within our group, 60% patients achieved no hypernasality whatsoever postoperatively. Furthermore, </w:t>
      </w:r>
      <w:proofErr w:type="gramStart"/>
      <w:r>
        <w:rPr>
          <w:lang w:eastAsia="en-IE"/>
        </w:rPr>
        <w:t>in excess of</w:t>
      </w:r>
      <w:proofErr w:type="gramEnd"/>
      <w:r>
        <w:rPr>
          <w:lang w:eastAsia="en-IE"/>
        </w:rPr>
        <w:t xml:space="preserve"> 83% of our patients were found to have no hypernasality, inconsistent mild hypernasality or consistent mild hypernasality following CPR-R surgery. It is perhaps unsurprising that those with more severe hypernasality preoperatively were more likely to require further surgery following CPR-R. </w:t>
      </w:r>
    </w:p>
    <w:p w14:paraId="2880B85E" w14:textId="3CD8E0C7" w:rsidR="00CC266F" w:rsidRDefault="00CC266F" w:rsidP="00DC2377">
      <w:pPr>
        <w:jc w:val="both"/>
        <w:rPr>
          <w:lang w:eastAsia="en-IE"/>
        </w:rPr>
      </w:pPr>
      <w:proofErr w:type="spellStart"/>
      <w:r>
        <w:rPr>
          <w:lang w:eastAsia="en-IE"/>
        </w:rPr>
        <w:t>Hyponasality</w:t>
      </w:r>
      <w:proofErr w:type="spellEnd"/>
      <w:r>
        <w:rPr>
          <w:lang w:eastAsia="en-IE"/>
        </w:rPr>
        <w:t xml:space="preserve"> was more frequently reported as a negative postoperative outcome in the literature than other speech parameters. 10.2% of patients were reported to have developed </w:t>
      </w:r>
      <w:proofErr w:type="spellStart"/>
      <w:r>
        <w:rPr>
          <w:lang w:eastAsia="en-IE"/>
        </w:rPr>
        <w:t>hyponasality</w:t>
      </w:r>
      <w:proofErr w:type="spellEnd"/>
      <w:r>
        <w:rPr>
          <w:lang w:eastAsia="en-IE"/>
        </w:rPr>
        <w:t xml:space="preserve"> postoperatively in a systematic review of the literature.</w:t>
      </w:r>
      <w:r>
        <w:rPr>
          <w:lang w:eastAsia="en-IE"/>
        </w:rPr>
        <w:fldChar w:fldCharType="begin" w:fldLock="1"/>
      </w:r>
      <w:r w:rsidR="00B55D7D">
        <w:rPr>
          <w:lang w:eastAsia="en-IE"/>
        </w:rPr>
        <w:instrText>ADDIN CSL_CITATION {"citationItems":[{"id":"ITEM-1","itemData":{"DOI":"10.1177/1055665617735102","ISSN":"15451569","PMID":"29437504","abstract":"Objective: This systematic review sought to evaluate the consensus in the literature regarding the surgical management of VPD and to determine whether a particular procedure results in superior speech outcome or less morbidity Design: A systematic review was carried out according to PRISMA-P guidelines. Systematic review software was used to facilitate 3-stage screening and data extraction by 2 reviewers. Setting: University teaching hospital. Patients, Participants: Studies that reported perceptual speech assessment or obstructive sleep apnea (OSA) in patients who had undergone surgery for VPD were included in the review. Interventions: Four categories of surgery for VPD were examined—pharyngeal flap, sphincter pharyngoplasty, palatoplasty, and posterior pharyngeal wall augmentation. Main outcome measures: Perceptual speech assessment, need for further surgery, and occurrence of OSA were the outcomes of interest. Results: Eighty-three relevant studies were identified, comprising data on 4011 patients. Pharyngeal flap was the most common procedure (64% of patients). Overall, 70.7% of patients attained normal resonance and 65.3% attained normal nasal emission. There was no notable difference in speech outcomes, need for further surgery, or occurrence of OSA across the 4 categories of surgery examined. Heterogeneous groups of patients were reported upon and a variety of perceptual speech assessment scales were used. Conclusions: There is a lack of consensus in the literature to guide procedure selection for patients with VPD. The development of a standardized minimum data set to record postoperative speech, OSA, and patient-reported outcomes is required.","author":[{"dropping-particle":"","family":"Blacam","given":"Catherine","non-dropping-particle":"de","parse-names":false,"suffix":""},{"dropping-particle":"","family":"Smith","given":"Susan","non-dropping-particle":"","parse-names":false,"suffix":""},{"dropping-particle":"","family":"Orr","given":"David","non-dropping-particle":"","parse-names":false,"suffix":""}],"container-title":"Cleft Palate-Craniofacial Journal","id":"ITEM-1","issue":"3","issued":{"date-parts":[["2018","3","1"]]},"page":"405-422","publisher":"SAGE Publications Ltd","title":"Surgery for velopharyngeal dysfunction: A systematic review of interventions and outcomes","type":"article-journal","volume":"55"},"uris":["http://www.mendeley.com/documents/?uuid=0652fba1-c83b-3e01-bfaf-c21773cb45dc"]}],"mendeley":{"formattedCitation":"&lt;sup&gt;9&lt;/sup&gt;","plainTextFormattedCitation":"9","previouslyFormattedCitation":"&lt;sup&gt;9&lt;/sup&gt;"},"properties":{"noteIndex":0},"schema":"https://github.com/citation-style-language/schema/raw/master/csl-citation.json"}</w:instrText>
      </w:r>
      <w:r>
        <w:rPr>
          <w:lang w:eastAsia="en-IE"/>
        </w:rPr>
        <w:fldChar w:fldCharType="separate"/>
      </w:r>
      <w:r w:rsidR="00B55D7D" w:rsidRPr="00B55D7D">
        <w:rPr>
          <w:noProof/>
          <w:vertAlign w:val="superscript"/>
          <w:lang w:eastAsia="en-IE"/>
        </w:rPr>
        <w:t>9</w:t>
      </w:r>
      <w:r>
        <w:rPr>
          <w:lang w:eastAsia="en-IE"/>
        </w:rPr>
        <w:fldChar w:fldCharType="end"/>
      </w:r>
      <w:r>
        <w:rPr>
          <w:lang w:eastAsia="en-IE"/>
        </w:rPr>
        <w:t xml:space="preserve"> Within our group, 16.1% developed </w:t>
      </w:r>
      <w:proofErr w:type="spellStart"/>
      <w:r>
        <w:rPr>
          <w:lang w:eastAsia="en-IE"/>
        </w:rPr>
        <w:t>hyponasal</w:t>
      </w:r>
      <w:proofErr w:type="spellEnd"/>
      <w:r>
        <w:rPr>
          <w:lang w:eastAsia="en-IE"/>
        </w:rPr>
        <w:t xml:space="preserve"> speech or experienced a worsening of </w:t>
      </w:r>
      <w:proofErr w:type="spellStart"/>
      <w:r>
        <w:rPr>
          <w:lang w:eastAsia="en-IE"/>
        </w:rPr>
        <w:t>hyponasality</w:t>
      </w:r>
      <w:proofErr w:type="spellEnd"/>
      <w:r>
        <w:rPr>
          <w:lang w:eastAsia="en-IE"/>
        </w:rPr>
        <w:t xml:space="preserve"> postoperatively. As described above, all except 3 of these patients had either moderate or severe hypernasality preoperatively</w:t>
      </w:r>
      <w:r w:rsidR="00D33AD2">
        <w:rPr>
          <w:lang w:eastAsia="en-IE"/>
        </w:rPr>
        <w:t xml:space="preserve"> and had considerable improvement in hypernasality following CPR-R.</w:t>
      </w:r>
    </w:p>
    <w:p w14:paraId="6E18AE59" w14:textId="17B431EE" w:rsidR="00D33AD2" w:rsidRDefault="00D33AD2" w:rsidP="00D33AD2">
      <w:pPr>
        <w:pStyle w:val="Heading2"/>
        <w:rPr>
          <w:lang w:eastAsia="en-IE"/>
        </w:rPr>
      </w:pPr>
      <w:bookmarkStart w:id="25" w:name="_Toc129708569"/>
      <w:r>
        <w:rPr>
          <w:lang w:eastAsia="en-IE"/>
        </w:rPr>
        <w:t>Nasal emission and nasal turbulence</w:t>
      </w:r>
      <w:bookmarkEnd w:id="25"/>
    </w:p>
    <w:p w14:paraId="6A86189D" w14:textId="37635262" w:rsidR="00D33AD2" w:rsidRDefault="00D33AD2" w:rsidP="00D33AD2">
      <w:pPr>
        <w:jc w:val="both"/>
        <w:rPr>
          <w:lang w:eastAsia="en-IE"/>
        </w:rPr>
      </w:pPr>
      <w:r>
        <w:rPr>
          <w:lang w:eastAsia="en-IE"/>
        </w:rPr>
        <w:t>Nasal emission is another parameter which is very frequently described in the literature as a measure of speech outcome following CPR-R.</w:t>
      </w:r>
      <w:r>
        <w:rPr>
          <w:lang w:eastAsia="en-IE"/>
        </w:rPr>
        <w:fldChar w:fldCharType="begin" w:fldLock="1"/>
      </w:r>
      <w:r w:rsidR="00B55D7D">
        <w:rPr>
          <w:lang w:eastAsia="en-IE"/>
        </w:rPr>
        <w:instrText>ADDIN CSL_CITATION {"citationItems":[{"id":"ITEM-1","itemData":{"DOI":"10.1177/1055665620902883","ISSN":"15451569","PMID":"32070129","abstract":"Background: Palate re-repair has been proposed as an effective treatment for velopharyngeal insufficiency (VPI) with a low risk of obstructive sleep apnea (OSA). The authors conducted a systematic review and meta-analysis to determine the proportion of patients achieving normal speech resonance following palate re-repair for VPI, the proportion developing OSA, and the criteria for patient selection that are associated with increased effectiveness. Methods: PubMed, Embase, and Scopus were searched from inception through April 2018 for English language articles evaluating palate re-repair for the treatment of VPI in patients with a repaired cleft palate. Inclusion criteria included reporting of hypernasality, nasal air emission, nasometry, additional VPI surgery, and/or OSA outcomes. Meta-analysis was conducted using random effects models. Risk of bias was assessed regarding criteria for patient selection, blinding of outcome assessors, and validity of speech assessment scale. Results: Eighteen studies met inclusion criteria. The incidence of achieving no consistent hypernasality follow palate re-repair was 61% (95% confidence interval [CI]: 44%-75%). The incidence of additional surgery for persistent VPI symptoms was 21% (95% CI: 12%-33%). The incidence of OSA was 28% (95% CI: 13%-49%). Criteria for selecting patients to undergo re-repair varied, with anterior/sagittal position of palatal muscles (33%) and small velopharyngeal gap (22%) being the most common. No specific patient selection criteria led to superior speech outcomes (P =.6572). Conclusions: Palate re-repair achieves normal speech resonance in many but not all patients with VPI. Further research is needed to identify the specific examination and imaging findings that predict successful correction of VPI with re-repair.","author":[{"dropping-particle":"","family":"Kurnik","given":"Nicole M.","non-dropping-particle":"","parse-names":false,"suffix":""},{"dropping-particle":"","family":"Weidler","given":"Erica M.","non-dropping-particle":"","parse-names":false,"suffix":""},{"dropping-particle":"","family":"Lien","given":"Kari M.","non-dropping-particle":"","parse-names":false,"suffix":""},{"dropping-particle":"","family":"Cordero","given":"Kelly N.","non-dropping-particle":"","parse-names":false,"suffix":""},{"dropping-particle":"","family":"Williams","given":"Jessica L.","non-dropping-particle":"","parse-names":false,"suffix":""},{"dropping-particle":"","family":"Temkit","given":"M’hamed","non-dropping-particle":"","parse-names":false,"suffix":""},{"dropping-particle":"","family":"Beals","given":"Stephen P.","non-dropping-particle":"","parse-names":false,"suffix":""},{"dropping-particle":"","family":"Singh","given":"Davinder J.","non-dropping-particle":"","parse-names":false,"suffix":""},{"dropping-particle":"","family":"Sitzman","given":"Thomas J.","non-dropping-particle":"","parse-names":false,"suffix":""}],"container-title":"Cleft Palate-Craniofacial Journal","id":"ITEM-1","issue":"7","issued":{"date-parts":[["2020","7","1"]]},"page":"860-871","publisher":"SAGE Publications Ltd","title":"The Effectiveness of Palate Re-Repair for Treating Velopharyngeal Insufficiency: A Systematic Review and Meta-Analysis","type":"article-journal","volume":"57"},"uris":["http://www.mendeley.com/documents/?uuid=47291599-8421-3338-8926-db2aa95a7156"]}],"mendeley":{"formattedCitation":"&lt;sup&gt;2&lt;/sup&gt;","plainTextFormattedCitation":"2","previouslyFormattedCitation":"&lt;sup&gt;2&lt;/sup&gt;"},"properties":{"noteIndex":0},"schema":"https://github.com/citation-style-language/schema/raw/master/csl-citation.json"}</w:instrText>
      </w:r>
      <w:r>
        <w:rPr>
          <w:lang w:eastAsia="en-IE"/>
        </w:rPr>
        <w:fldChar w:fldCharType="separate"/>
      </w:r>
      <w:r w:rsidR="00B55D7D" w:rsidRPr="00B55D7D">
        <w:rPr>
          <w:noProof/>
          <w:vertAlign w:val="superscript"/>
          <w:lang w:eastAsia="en-IE"/>
        </w:rPr>
        <w:t>2</w:t>
      </w:r>
      <w:r>
        <w:rPr>
          <w:lang w:eastAsia="en-IE"/>
        </w:rPr>
        <w:fldChar w:fldCharType="end"/>
      </w:r>
      <w:r>
        <w:rPr>
          <w:lang w:eastAsia="en-IE"/>
        </w:rPr>
        <w:t xml:space="preserve"> Across 18 studies reviewed in meta-analysis, the postoperative incidence of no consistent nasal emission was found to be 78%.</w:t>
      </w:r>
      <w:r>
        <w:rPr>
          <w:lang w:eastAsia="en-IE"/>
        </w:rPr>
        <w:fldChar w:fldCharType="begin" w:fldLock="1"/>
      </w:r>
      <w:r w:rsidR="00B55D7D">
        <w:rPr>
          <w:lang w:eastAsia="en-IE"/>
        </w:rPr>
        <w:instrText>ADDIN CSL_CITATION {"citationItems":[{"id":"ITEM-1","itemData":{"DOI":"10.1177/1055665620902883","ISSN":"15451569","PMID":"32070129","abstract":"Background: Palate re-repair has been proposed as an effective treatment for velopharyngeal insufficiency (VPI) with a low risk of obstructive sleep apnea (OSA). The authors conducted a systematic review and meta-analysis to determine the proportion of patients achieving normal speech resonance following palate re-repair for VPI, the proportion developing OSA, and the criteria for patient selection that are associated with increased effectiveness. Methods: PubMed, Embase, and Scopus were searched from inception through April 2018 for English language articles evaluating palate re-repair for the treatment of VPI in patients with a repaired cleft palate. Inclusion criteria included reporting of hypernasality, nasal air emission, nasometry, additional VPI surgery, and/or OSA outcomes. Meta-analysis was conducted using random effects models. Risk of bias was assessed regarding criteria for patient selection, blinding of outcome assessors, and validity of speech assessment scale. Results: Eighteen studies met inclusion criteria. The incidence of achieving no consistent hypernasality follow palate re-repair was 61% (95% confidence interval [CI]: 44%-75%). The incidence of additional surgery for persistent VPI symptoms was 21% (95% CI: 12%-33%). The incidence of OSA was 28% (95% CI: 13%-49%). Criteria for selecting patients to undergo re-repair varied, with anterior/sagittal position of palatal muscles (33%) and small velopharyngeal gap (22%) being the most common. No specific patient selection criteria led to superior speech outcomes (P =.6572). Conclusions: Palate re-repair achieves normal speech resonance in many but not all patients with VPI. Further research is needed to identify the specific examination and imaging findings that predict successful correction of VPI with re-repair.","author":[{"dropping-particle":"","family":"Kurnik","given":"Nicole M.","non-dropping-particle":"","parse-names":false,"suffix":""},{"dropping-particle":"","family":"Weidler","given":"Erica M.","non-dropping-particle":"","parse-names":false,"suffix":""},{"dropping-particle":"","family":"Lien","given":"Kari M.","non-dropping-particle":"","parse-names":false,"suffix":""},{"dropping-particle":"","family":"Cordero","given":"Kelly N.","non-dropping-particle":"","parse-names":false,"suffix":""},{"dropping-particle":"","family":"Williams","given":"Jessica L.","non-dropping-particle":"","parse-names":false,"suffix":""},{"dropping-particle":"","family":"Temkit","given":"M’hamed","non-dropping-particle":"","parse-names":false,"suffix":""},{"dropping-particle":"","family":"Beals","given":"Stephen P.","non-dropping-particle":"","parse-names":false,"suffix":""},{"dropping-particle":"","family":"Singh","given":"Davinder J.","non-dropping-particle":"","parse-names":false,"suffix":""},{"dropping-particle":"","family":"Sitzman","given":"Thomas J.","non-dropping-particle":"","parse-names":false,"suffix":""}],"container-title":"Cleft Palate-Craniofacial Journal","id":"ITEM-1","issue":"7","issued":{"date-parts":[["2020","7","1"]]},"page":"860-871","publisher":"SAGE Publications Ltd","title":"The Effectiveness of Palate Re-Repair for Treating Velopharyngeal Insufficiency: A Systematic Review and Meta-Analysis","type":"article-journal","volume":"57"},"uris":["http://www.mendeley.com/documents/?uuid=47291599-8421-3338-8926-db2aa95a7156"]}],"mendeley":{"formattedCitation":"&lt;sup&gt;2&lt;/sup&gt;","plainTextFormattedCitation":"2","previouslyFormattedCitation":"&lt;sup&gt;2&lt;/sup&gt;"},"properties":{"noteIndex":0},"schema":"https://github.com/citation-style-language/schema/raw/master/csl-citation.json"}</w:instrText>
      </w:r>
      <w:r>
        <w:rPr>
          <w:lang w:eastAsia="en-IE"/>
        </w:rPr>
        <w:fldChar w:fldCharType="separate"/>
      </w:r>
      <w:r w:rsidR="00B55D7D" w:rsidRPr="00B55D7D">
        <w:rPr>
          <w:noProof/>
          <w:vertAlign w:val="superscript"/>
          <w:lang w:eastAsia="en-IE"/>
        </w:rPr>
        <w:t>2</w:t>
      </w:r>
      <w:r>
        <w:rPr>
          <w:lang w:eastAsia="en-IE"/>
        </w:rPr>
        <w:fldChar w:fldCharType="end"/>
      </w:r>
      <w:r>
        <w:rPr>
          <w:lang w:eastAsia="en-IE"/>
        </w:rPr>
        <w:t xml:space="preserve"> Another study published following this meta-analysis reported that nasal emission following CPR-R (by any technique) improved in 85% of cases, and resolved entirely in 50% cases.</w:t>
      </w:r>
      <w:r>
        <w:rPr>
          <w:lang w:eastAsia="en-IE"/>
        </w:rPr>
        <w:fldChar w:fldCharType="begin" w:fldLock="1"/>
      </w:r>
      <w:r w:rsidR="00276744">
        <w:rPr>
          <w:lang w:eastAsia="en-IE"/>
        </w:rPr>
        <w:instrText>ADDIN CSL_CITATION {"citationItems":[{"id":"ITEM-1","itemData":{"DOI":"10.1097/SCS.0000000000007514","ISSN":"15363732","PMID":"33705013","abstract":"ABSTRACT: Speech has a very significant impact on the life quality of people with cleft and lip palate. Restore tissue anatomy and functionality is the main aim of primary palatal surgery. Multiple factors are associated with successful handling, including the need for a velopharyngeal insufficiency (VPI) secondary surgery. The study's aim is to determine speech and velopharyngeal function outcomes in children with cleft palate operated in our institution and to determine VPI secondary surgery outcomes, if appropriate. Clinical records of nonsyndromic patients with cleft palate born between January 2009 and December 2012, who performed their multidisciplinary care on our institution, were analyzed retrospectively. One hundred forty-two patients received primary palatal surgery. Eighty (56%) were male and 62 (44%) female. Twenty-two had soft cleft palate, 9 hard and soft cleft palate, 84 unilateral, and 27 bilateral cleft lip and palate. Twelve percent of patients presented palatal fistula, with a significantly higher presentation in Soft Cleft Palate and Hard and Soft Cleft Palate. Twenty-seven patients (19%) had surgical indication for VPI correction, and 20 of them received VPI surgery, before school age. Cleft type and gender were significantly associated with VPI surgery indication rate. Postsurgery, 80% presented normal resonance. Nasal emission improved in 85% of patients. Nasometry decreased from 45% to 31%. Hyponasality increased by 10%. One case presented total flap dehiscence. Preoperative planning must be done carefully and individualized to succeed. Future prospective research that considers all the variables for a correct analysis is advisable, to improve our results.","author":[{"dropping-particle":"","family":"Carvajal Álvarez","given":"Drina C.","non-dropping-particle":"","parse-names":false,"suffix":""},{"dropping-particle":"","family":"Palomares-Aguilera","given":"Mirta M.","non-dropping-particle":"","parse-names":false,"suffix":""},{"dropping-particle":"","family":"Meneses Geldres","given":"María B.","non-dropping-particle":"","parse-names":false,"suffix":""},{"dropping-particle":"","family":"Villarroel Giugliano","given":"Carlos","non-dropping-particle":"","parse-names":false,"suffix":""}],"container-title":"The Journal of craniofacial surgery","id":"ITEM-1","issue":"2","issued":{"date-parts":[["2021","3","1"]]},"page":"698-704","publisher":"NLM (Medline)","title":"Primary Palatal Surgery in Nonsyndromic Cleft Palate Children and Velopharyngeal Insufficiency Correction Outcomes","type":"article-journal","volume":"32"},"uris":["http://www.mendeley.com/documents/?uuid=2927b337-c057-3c16-ae0d-9d4def311de1"]}],"mendeley":{"formattedCitation":"&lt;sup&gt;8&lt;/sup&gt;","plainTextFormattedCitation":"8","previouslyFormattedCitation":"&lt;sup&gt;8&lt;/sup&gt;"},"properties":{"noteIndex":0},"schema":"https://github.com/citation-style-language/schema/raw/master/csl-citation.json"}</w:instrText>
      </w:r>
      <w:r>
        <w:rPr>
          <w:lang w:eastAsia="en-IE"/>
        </w:rPr>
        <w:fldChar w:fldCharType="separate"/>
      </w:r>
      <w:r w:rsidR="00060656" w:rsidRPr="00060656">
        <w:rPr>
          <w:noProof/>
          <w:vertAlign w:val="superscript"/>
          <w:lang w:eastAsia="en-IE"/>
        </w:rPr>
        <w:t>8</w:t>
      </w:r>
      <w:r>
        <w:rPr>
          <w:lang w:eastAsia="en-IE"/>
        </w:rPr>
        <w:fldChar w:fldCharType="end"/>
      </w:r>
      <w:r>
        <w:rPr>
          <w:lang w:eastAsia="en-IE"/>
        </w:rPr>
        <w:t xml:space="preserve"> They additionally reported that 65% patients had no consistent nasal emission postoperatively.</w:t>
      </w:r>
      <w:r>
        <w:rPr>
          <w:lang w:eastAsia="en-IE"/>
        </w:rPr>
        <w:fldChar w:fldCharType="begin" w:fldLock="1"/>
      </w:r>
      <w:r w:rsidR="00276744">
        <w:rPr>
          <w:lang w:eastAsia="en-IE"/>
        </w:rPr>
        <w:instrText>ADDIN CSL_CITATION {"citationItems":[{"id":"ITEM-1","itemData":{"DOI":"10.1097/SCS.0000000000007514","ISSN":"15363732","PMID":"33705013","abstract":"ABSTRACT: Speech has a very significant impact on the life quality of people with cleft and lip palate. Restore tissue anatomy and functionality is the main aim of primary palatal surgery. Multiple factors are associated with successful handling, including the need for a velopharyngeal insufficiency (VPI) secondary surgery. The study's aim is to determine speech and velopharyngeal function outcomes in children with cleft palate operated in our institution and to determine VPI secondary surgery outcomes, if appropriate. Clinical records of nonsyndromic patients with cleft palate born between January 2009 and December 2012, who performed their multidisciplinary care on our institution, were analyzed retrospectively. One hundred forty-two patients received primary palatal surgery. Eighty (56%) were male and 62 (44%) female. Twenty-two had soft cleft palate, 9 hard and soft cleft palate, 84 unilateral, and 27 bilateral cleft lip and palate. Twelve percent of patients presented palatal fistula, with a significantly higher presentation in Soft Cleft Palate and Hard and Soft Cleft Palate. Twenty-seven patients (19%) had surgical indication for VPI correction, and 20 of them received VPI surgery, before school age. Cleft type and gender were significantly associated with VPI surgery indication rate. Postsurgery, 80% presented normal resonance. Nasal emission improved in 85% of patients. Nasometry decreased from 45% to 31%. Hyponasality increased by 10%. One case presented total flap dehiscence. Preoperative planning must be done carefully and individualized to succeed. Future prospective research that considers all the variables for a correct analysis is advisable, to improve our results.","author":[{"dropping-particle":"","family":"Carvajal Álvarez","given":"Drina C.","non-dropping-particle":"","parse-names":false,"suffix":""},{"dropping-particle":"","family":"Palomares-Aguilera","given":"Mirta M.","non-dropping-particle":"","parse-names":false,"suffix":""},{"dropping-particle":"","family":"Meneses Geldres","given":"María B.","non-dropping-particle":"","parse-names":false,"suffix":""},{"dropping-particle":"","family":"Villarroel Giugliano","given":"Carlos","non-dropping-particle":"","parse-names":false,"suffix":""}],"container-title":"The Journal of craniofacial surgery","id":"ITEM-1","issue":"2","issued":{"date-parts":[["2021","3","1"]]},"page":"698-704","publisher":"NLM (Medline)","title":"Primary Palatal Surgery in Nonsyndromic Cleft Palate Children and Velopharyngeal Insufficiency Correction Outcomes","type":"article-journal","volume":"32"},"uris":["http://www.mendeley.com/documents/?uuid=2927b337-c057-3c16-ae0d-9d4def311de1"]}],"mendeley":{"formattedCitation":"&lt;sup&gt;8&lt;/sup&gt;","plainTextFormattedCitation":"8","previouslyFormattedCitation":"&lt;sup&gt;8&lt;/sup&gt;"},"properties":{"noteIndex":0},"schema":"https://github.com/citation-style-language/schema/raw/master/csl-citation.json"}</w:instrText>
      </w:r>
      <w:r>
        <w:rPr>
          <w:lang w:eastAsia="en-IE"/>
        </w:rPr>
        <w:fldChar w:fldCharType="separate"/>
      </w:r>
      <w:r w:rsidR="00060656" w:rsidRPr="00060656">
        <w:rPr>
          <w:noProof/>
          <w:vertAlign w:val="superscript"/>
          <w:lang w:eastAsia="en-IE"/>
        </w:rPr>
        <w:t>8</w:t>
      </w:r>
      <w:r>
        <w:rPr>
          <w:lang w:eastAsia="en-IE"/>
        </w:rPr>
        <w:fldChar w:fldCharType="end"/>
      </w:r>
      <w:r>
        <w:rPr>
          <w:lang w:eastAsia="en-IE"/>
        </w:rPr>
        <w:t xml:space="preserve"> Although </w:t>
      </w:r>
      <w:proofErr w:type="spellStart"/>
      <w:r>
        <w:rPr>
          <w:lang w:eastAsia="en-IE"/>
        </w:rPr>
        <w:t>Sommerlad</w:t>
      </w:r>
      <w:proofErr w:type="spellEnd"/>
      <w:r>
        <w:rPr>
          <w:lang w:eastAsia="en-IE"/>
        </w:rPr>
        <w:t xml:space="preserve"> reported outcomes for only one technique (the same technique used in our cohort), there was no specific breakdown with regards to </w:t>
      </w:r>
      <w:r>
        <w:rPr>
          <w:lang w:eastAsia="en-IE"/>
        </w:rPr>
        <w:lastRenderedPageBreak/>
        <w:t>nasal emission or turbulence. Rather, this study described that 82.4% patients showed normal or inconsistent mild hypernasality, nasal emission or nasal turbulence postoperatively, as aforementioned.</w:t>
      </w:r>
      <w:r>
        <w:rPr>
          <w:lang w:eastAsia="en-IE"/>
        </w:rPr>
        <w:fldChar w:fldCharType="begin" w:fldLock="1"/>
      </w:r>
      <w:r w:rsidR="00276744">
        <w:rPr>
          <w:lang w:eastAsia="en-IE"/>
        </w:rPr>
        <w:instrText>ADDIN CSL_CITATION {"citationItems":[{"id":"ITEM-1","itemData":{"DOI":"10.1597/1545-1569_2002_039_0295_PRRR_2.0.CO_2","ISSN":"1055-6656","abstract":"OBJECTIVE: To analyze the results of a consecutive series of palate re‐repairs performed using the operating microscope and identify predictive factors for outcome. DESIGN: Prospective data collection, with blind assessment of randomized recordings of speech and velar function on lateral videofluoroscopy and nasendoscopy. PATIENTS: One hundred twenty‐nine consecutive patients with previously repaired cleft palates and symptomatic velopharyngeal incompetence (VPI) and evidence of anterior insertion of the levator veli palatini underwent palate re‐repairs by a single surgeon from 1992 to 1998. Syndromic patients, those who had significant additional surgical procedures at the time of re‐repair (23 patients), and all patients with inadequate pre‐ or postoperative speech recordings were excluded, leaving a total of 85 patients in the study. INTERVENTIONS: Palate re‐repairs, with radical dissection and retropositioning of the velar muscles, were performed using the operating microscope with intraoperative grading of anatomical and surgical findings. MAIN OUTCOME MEASURES: Pre‐ and postoperative perceptual speech assessments using the Cleft Audit Protocol for Speech (CAPS) score, measurement of velar function on lateral videofluoroscopy, and assessment of nasendoscopy recordings. RESULTS: There were significant improvements in hypernasality, nasal emission, and nasal turbulence and measures of velar function on lateral videofluoroscopy, with improvement in the closure ratio, velopharyngeal gap at closure, velar excursion, velar movement angle, and velar velocity. CONCLUSIONS: Palate re‐repair has been shown to be effective in treating VPI following cleft palate repair, both in patients who have not had an intravelar veloplasty and those who have had a previous attempt at muscle dissection and retropositioning. Palate re‐repair has a lower morbidity and is more physiological than a pharyngoplasty or pharyngeal flap.","author":[{"dropping-particle":"","family":"Sommerlad","given":"Brian C.","non-dropping-particle":"","parse-names":false,"suffix":""},{"dropping-particle":"V.","family":"Mehendale","given":"Felicity","non-dropping-particle":"","parse-names":false,"suffix":""},{"dropping-particle":"","family":"Birch","given":"Malcolm J.","non-dropping-particle":"","parse-names":false,"suffix":""},{"dropping-particle":"","family":"Sell","given":"Debbie","non-dropping-particle":"","parse-names":false,"suffix":""},{"dropping-particle":"","family":"Hattee","given":"Caroline","non-dropping-particle":"","parse-names":false,"suffix":""},{"dropping-particle":"","family":"Harland","given":"Kim","non-dropping-particle":"","parse-names":false,"suffix":""}],"container-title":"The Cleft Palate-Craniofacial Journal","id":"ITEM-1","issue":"3","issued":{"date-parts":[["2002","5"]]},"page":"295-307","publisher":"SAGE Publications","title":"Palate Re-Repair Revisited","type":"article-journal","volume":"39"},"uris":["http://www.mendeley.com/documents/?uuid=f5614a92-f4b2-3284-bded-3c97decb1ac5"]}],"mendeley":{"formattedCitation":"&lt;sup&gt;4&lt;/sup&gt;","plainTextFormattedCitation":"4","previouslyFormattedCitation":"&lt;sup&gt;4&lt;/sup&gt;"},"properties":{"noteIndex":0},"schema":"https://github.com/citation-style-language/schema/raw/master/csl-citation.json"}</w:instrText>
      </w:r>
      <w:r>
        <w:rPr>
          <w:lang w:eastAsia="en-IE"/>
        </w:rPr>
        <w:fldChar w:fldCharType="separate"/>
      </w:r>
      <w:r w:rsidR="00060656" w:rsidRPr="00060656">
        <w:rPr>
          <w:noProof/>
          <w:vertAlign w:val="superscript"/>
          <w:lang w:eastAsia="en-IE"/>
        </w:rPr>
        <w:t>4</w:t>
      </w:r>
      <w:r>
        <w:rPr>
          <w:lang w:eastAsia="en-IE"/>
        </w:rPr>
        <w:fldChar w:fldCharType="end"/>
      </w:r>
      <w:r>
        <w:rPr>
          <w:lang w:eastAsia="en-IE"/>
        </w:rPr>
        <w:t xml:space="preserve"> </w:t>
      </w:r>
    </w:p>
    <w:p w14:paraId="10929A4D" w14:textId="7D7009B5" w:rsidR="00D33AD2" w:rsidRDefault="00D33AD2" w:rsidP="00D33AD2">
      <w:pPr>
        <w:jc w:val="both"/>
        <w:rPr>
          <w:lang w:eastAsia="en-IE"/>
        </w:rPr>
      </w:pPr>
      <w:r>
        <w:rPr>
          <w:lang w:eastAsia="en-IE"/>
        </w:rPr>
        <w:t>Our reported results compare very favourably with the findings as described in the literature. In terms of nasal</w:t>
      </w:r>
      <w:r w:rsidR="007E5E57">
        <w:rPr>
          <w:lang w:eastAsia="en-IE"/>
        </w:rPr>
        <w:t xml:space="preserve"> emission, approximately 74% patients had no reported nasal emission following CPR-R. Almost 96% patients had nasal emission scores classed as mild or better. Regarding nasal turbulence, 100% patients had either mild or no turbulence reported after CPR-R. </w:t>
      </w:r>
    </w:p>
    <w:p w14:paraId="3A34EEFF" w14:textId="1BDA334E" w:rsidR="004F7CB1" w:rsidRDefault="007E5E57" w:rsidP="004F7CB1">
      <w:pPr>
        <w:pStyle w:val="Heading2"/>
        <w:rPr>
          <w:lang w:eastAsia="en-IE"/>
        </w:rPr>
      </w:pPr>
      <w:bookmarkStart w:id="26" w:name="_Toc129708570"/>
      <w:r>
        <w:rPr>
          <w:lang w:eastAsia="en-IE"/>
        </w:rPr>
        <w:t>Palatal fistula presence</w:t>
      </w:r>
      <w:bookmarkEnd w:id="26"/>
    </w:p>
    <w:p w14:paraId="1CEEEDBD" w14:textId="07F3EF0A" w:rsidR="004F7CB1" w:rsidRDefault="004F7CB1" w:rsidP="00400361">
      <w:pPr>
        <w:jc w:val="both"/>
        <w:rPr>
          <w:lang w:eastAsia="en-IE"/>
        </w:rPr>
      </w:pPr>
      <w:r>
        <w:rPr>
          <w:lang w:eastAsia="en-IE"/>
        </w:rPr>
        <w:t>The incidence of a palatal fistula following primary cleft palate repair has been reported to be 8.6% in a systematic review of the literature.</w:t>
      </w:r>
      <w:r>
        <w:rPr>
          <w:lang w:eastAsia="en-IE"/>
        </w:rPr>
        <w:fldChar w:fldCharType="begin" w:fldLock="1"/>
      </w:r>
      <w:r w:rsidR="00C06165">
        <w:rPr>
          <w:lang w:eastAsia="en-IE"/>
        </w:rPr>
        <w:instrText>ADDIN CSL_CITATION {"citationItems":[{"id":"ITEM-1","itemData":{"DOI":"10.1097/PRS.0000000000000548","ISSN":"1529-4242","PMID":"25357056","abstract":"Background: The development of an oronasal fistula after primary cleft palate repair has a wide variation reported in the literature. The aim of this review is to identify the reported oronasal fistula incidence to provide a benchmark for surgical practice. Methods: A systematic review was undertaken to investigate the incidence of fistula. Multiple meta-analyses were performed to pool proportions of reported fistulae, in each data set corresponding to the continent of origin of the study, type of cleft, and techniques of cleft palate repair used. Results: A total of 9294 patients were included from 44 studies. The overall incidence of reported fistula was 8.6 percent (95 percent CI, 6.4 to 11.1 percent). There was no significant difference in the fistula incidence corresponding to the continent of origin of each study or the repair technique used. The incidence of fistula in cleft lip-cleft palate was 17.9 percent, which was significantly higher (p = 0.03) than in cases of cleft palate alone (5.4 percent). Conclusions: Palatal fistulae were more likely to occur in cases of combined cleft lip-cleft palate, compared with cleft palate alone. The authors would recommend the prospective examination and recording of all fistulae to a standardized classification scheme.","author":[{"dropping-particle":"","family":"Hardwicke","given":"Joseph T.","non-dropping-particle":"","parse-names":false,"suffix":""},{"dropping-particle":"","family":"Landini","given":"Gabriel","non-dropping-particle":"","parse-names":false,"suffix":""},{"dropping-particle":"","family":"Richard","given":"Bruce M.","non-dropping-particle":"","parse-names":false,"suffix":""}],"container-title":"Plastic and reconstructive surgery","id":"ITEM-1","issue":"4","issued":{"date-parts":[["2014"]]},"page":"618e-627e","publisher":"Plast Reconstr Surg","title":"Fistula incidence after primary cleft palate repair: a systematic review of the literature","type":"article-journal","volume":"134"},"uris":["http://www.mendeley.com/documents/?uuid=38e88fb7-01ba-3691-857c-f3ade6917f92"]}],"mendeley":{"formattedCitation":"&lt;sup&gt;10&lt;/sup&gt;","plainTextFormattedCitation":"10","previouslyFormattedCitation":"&lt;sup&gt;10&lt;/sup&gt;"},"properties":{"noteIndex":0},"schema":"https://github.com/citation-style-language/schema/raw/master/csl-citation.json"}</w:instrText>
      </w:r>
      <w:r>
        <w:rPr>
          <w:lang w:eastAsia="en-IE"/>
        </w:rPr>
        <w:fldChar w:fldCharType="separate"/>
      </w:r>
      <w:r w:rsidRPr="004F7CB1">
        <w:rPr>
          <w:noProof/>
          <w:vertAlign w:val="superscript"/>
          <w:lang w:eastAsia="en-IE"/>
        </w:rPr>
        <w:t>10</w:t>
      </w:r>
      <w:r>
        <w:rPr>
          <w:lang w:eastAsia="en-IE"/>
        </w:rPr>
        <w:fldChar w:fldCharType="end"/>
      </w:r>
      <w:r w:rsidR="00C06165">
        <w:rPr>
          <w:lang w:eastAsia="en-IE"/>
        </w:rPr>
        <w:t xml:space="preserve"> Carvajal Álvarez </w:t>
      </w:r>
      <w:r w:rsidR="00C06165">
        <w:rPr>
          <w:i/>
          <w:iCs/>
          <w:lang w:eastAsia="en-IE"/>
        </w:rPr>
        <w:t>et al.,</w:t>
      </w:r>
      <w:r w:rsidR="00C06165">
        <w:rPr>
          <w:lang w:eastAsia="en-IE"/>
        </w:rPr>
        <w:t xml:space="preserve"> in 2021 reported a higher incidence of 12%.</w:t>
      </w:r>
      <w:r w:rsidR="00C06165">
        <w:rPr>
          <w:lang w:eastAsia="en-IE"/>
        </w:rPr>
        <w:fldChar w:fldCharType="begin" w:fldLock="1"/>
      </w:r>
      <w:r w:rsidR="00276744">
        <w:rPr>
          <w:lang w:eastAsia="en-IE"/>
        </w:rPr>
        <w:instrText>ADDIN CSL_CITATION {"citationItems":[{"id":"ITEM-1","itemData":{"DOI":"10.1097/SCS.0000000000007514","ISSN":"15363732","PMID":"33705013","abstract":"ABSTRACT: Speech has a very significant impact on the life quality of people with cleft and lip palate. Restore tissue anatomy and functionality is the main aim of primary palatal surgery. Multiple factors are associated with successful handling, including the need for a velopharyngeal insufficiency (VPI) secondary surgery. The study's aim is to determine speech and velopharyngeal function outcomes in children with cleft palate operated in our institution and to determine VPI secondary surgery outcomes, if appropriate. Clinical records of nonsyndromic patients with cleft palate born between January 2009 and December 2012, who performed their multidisciplinary care on our institution, were analyzed retrospectively. One hundred forty-two patients received primary palatal surgery. Eighty (56%) were male and 62 (44%) female. Twenty-two had soft cleft palate, 9 hard and soft cleft palate, 84 unilateral, and 27 bilateral cleft lip and palate. Twelve percent of patients presented palatal fistula, with a significantly higher presentation in Soft Cleft Palate and Hard and Soft Cleft Palate. Twenty-seven patients (19%) had surgical indication for VPI correction, and 20 of them received VPI surgery, before school age. Cleft type and gender were significantly associated with VPI surgery indication rate. Postsurgery, 80% presented normal resonance. Nasal emission improved in 85% of patients. Nasometry decreased from 45% to 31%. Hyponasality increased by 10%. One case presented total flap dehiscence. Preoperative planning must be done carefully and individualized to succeed. Future prospective research that considers all the variables for a correct analysis is advisable, to improve our results.","author":[{"dropping-particle":"","family":"Carvajal Álvarez","given":"Drina C.","non-dropping-particle":"","parse-names":false,"suffix":""},{"dropping-particle":"","family":"Palomares-Aguilera","given":"Mirta M.","non-dropping-particle":"","parse-names":false,"suffix":""},{"dropping-particle":"","family":"Meneses Geldres","given":"María B.","non-dropping-particle":"","parse-names":false,"suffix":""},{"dropping-particle":"","family":"Villarroel Giugliano","given":"Carlos","non-dropping-particle":"","parse-names":false,"suffix":""}],"container-title":"The Journal of craniofacial surgery","id":"ITEM-1","issue":"2","issued":{"date-parts":[["2021","3","1"]]},"page":"698-704","publisher":"NLM (Medline)","title":"Primary Palatal Surgery in Nonsyndromic Cleft Palate Children and Velopharyngeal Insufficiency Correction Outcomes","type":"article-journal","volume":"32"},"uris":["http://www.mendeley.com/documents/?uuid=2927b337-c057-3c16-ae0d-9d4def311de1"]}],"mendeley":{"formattedCitation":"&lt;sup&gt;8&lt;/sup&gt;","plainTextFormattedCitation":"8","previouslyFormattedCitation":"&lt;sup&gt;8&lt;/sup&gt;"},"properties":{"noteIndex":0},"schema":"https://github.com/citation-style-language/schema/raw/master/csl-citation.json"}</w:instrText>
      </w:r>
      <w:r w:rsidR="00C06165">
        <w:rPr>
          <w:lang w:eastAsia="en-IE"/>
        </w:rPr>
        <w:fldChar w:fldCharType="separate"/>
      </w:r>
      <w:r w:rsidR="00060656" w:rsidRPr="00060656">
        <w:rPr>
          <w:noProof/>
          <w:vertAlign w:val="superscript"/>
          <w:lang w:eastAsia="en-IE"/>
        </w:rPr>
        <w:t>8</w:t>
      </w:r>
      <w:r w:rsidR="00C06165">
        <w:rPr>
          <w:lang w:eastAsia="en-IE"/>
        </w:rPr>
        <w:fldChar w:fldCharType="end"/>
      </w:r>
      <w:r w:rsidR="00C06165">
        <w:rPr>
          <w:lang w:eastAsia="en-IE"/>
        </w:rPr>
        <w:t xml:space="preserve"> </w:t>
      </w:r>
      <w:r w:rsidR="00400361">
        <w:rPr>
          <w:lang w:eastAsia="en-IE"/>
        </w:rPr>
        <w:t xml:space="preserve">Our finding of 13.7% would </w:t>
      </w:r>
      <w:r w:rsidR="000B455F">
        <w:rPr>
          <w:lang w:eastAsia="en-IE"/>
        </w:rPr>
        <w:t>seem</w:t>
      </w:r>
      <w:r w:rsidR="00400361">
        <w:rPr>
          <w:lang w:eastAsia="en-IE"/>
        </w:rPr>
        <w:t xml:space="preserve">, therefore, to be more consistent with the value reported in the 2021 study. </w:t>
      </w:r>
    </w:p>
    <w:p w14:paraId="6280C0F6" w14:textId="0D50EF3A" w:rsidR="00400361" w:rsidRDefault="00400361" w:rsidP="00400361">
      <w:pPr>
        <w:jc w:val="both"/>
        <w:rPr>
          <w:lang w:eastAsia="en-IE"/>
        </w:rPr>
      </w:pPr>
      <w:r>
        <w:rPr>
          <w:lang w:eastAsia="en-IE"/>
        </w:rPr>
        <w:t xml:space="preserve">Within our cohort, </w:t>
      </w:r>
      <w:proofErr w:type="gramStart"/>
      <w:r>
        <w:rPr>
          <w:lang w:eastAsia="en-IE"/>
        </w:rPr>
        <w:t>it would appear that a</w:t>
      </w:r>
      <w:proofErr w:type="gramEnd"/>
      <w:r>
        <w:rPr>
          <w:lang w:eastAsia="en-IE"/>
        </w:rPr>
        <w:t xml:space="preserve"> higher proportion of patients with a palatal fistula recorded at the time of CPR-R required further surgery subsequently. However, as these patients were only 14 in number, it is not possible to draw a meaningful conclusion with regards to wither the presence of a fistula is a true predictive factor for further surgery. Furthermore, this variable has not been evaluated in the literature to determine if a palatal fistula prior to CPR-R is predictive of future need for more speech surgery. </w:t>
      </w:r>
    </w:p>
    <w:p w14:paraId="74F64D6C" w14:textId="4937D3F4" w:rsidR="00400361" w:rsidRDefault="00400361" w:rsidP="00400361">
      <w:pPr>
        <w:pStyle w:val="Heading2"/>
        <w:rPr>
          <w:lang w:eastAsia="en-IE"/>
        </w:rPr>
      </w:pPr>
      <w:bookmarkStart w:id="27" w:name="_Toc129708571"/>
      <w:r>
        <w:rPr>
          <w:lang w:eastAsia="en-IE"/>
        </w:rPr>
        <w:t>Syndromic patients</w:t>
      </w:r>
      <w:bookmarkEnd w:id="27"/>
    </w:p>
    <w:p w14:paraId="7DCB04E3" w14:textId="14B886FA" w:rsidR="00400361" w:rsidRDefault="00400361" w:rsidP="00400361">
      <w:pPr>
        <w:jc w:val="both"/>
        <w:rPr>
          <w:lang w:eastAsia="en-IE"/>
        </w:rPr>
      </w:pPr>
      <w:r>
        <w:rPr>
          <w:lang w:eastAsia="en-IE"/>
        </w:rPr>
        <w:t xml:space="preserve">Within the literature, syndromic patients are often excluded from study design, as these patients may present with more complex oropharyngeal manifestations of their conditions, and this may impact the outcome of results. Of studies that did include syndromic patients, these were usually classified as non-syndromic, non-syndromic with PRS and syndromic (including syndromic with PRS). </w:t>
      </w:r>
      <w:r w:rsidR="00A26E01">
        <w:rPr>
          <w:lang w:eastAsia="en-IE"/>
        </w:rPr>
        <w:t xml:space="preserve">In terms of outcomes for syndromic patients, one study reported a success rate of 79% in </w:t>
      </w:r>
      <w:proofErr w:type="spellStart"/>
      <w:r w:rsidR="00A26E01">
        <w:rPr>
          <w:lang w:eastAsia="en-IE"/>
        </w:rPr>
        <w:t>nonsyndromic</w:t>
      </w:r>
      <w:proofErr w:type="spellEnd"/>
      <w:r w:rsidR="00A26E01">
        <w:rPr>
          <w:lang w:eastAsia="en-IE"/>
        </w:rPr>
        <w:t xml:space="preserve"> PRS patients and 58% in syndromic patients, where success was defined as “velopharyngeal competence” on speech and language assessment – that is to say, where no nasality or emission was detected.</w:t>
      </w:r>
      <w:r w:rsidR="00A26E01">
        <w:rPr>
          <w:lang w:eastAsia="en-IE"/>
        </w:rPr>
        <w:fldChar w:fldCharType="begin" w:fldLock="1"/>
      </w:r>
      <w:r w:rsidR="00276744">
        <w:rPr>
          <w:lang w:eastAsia="en-IE"/>
        </w:rPr>
        <w:instrText>ADDIN CSL_CITATION {"citationItems":[{"id":"ITEM-1","itemData":{"DOI":"10.1097/SCS.0000000000007343","ISSN":"15363732","PMID":"33705010","abstract":"BACKGROUND: Velopharyngeal insufficiency (VPI) often results from palatal shortening or insufficient levator function after cleft palate repair. AIMS: To assess the efficacy of palatal re-repair with Z-plasty in treatment of VPI for patients with isolated cleft palate (ICP). METHODS: This retrospective analysis comprised 130 consecutive patients who had ICP with VPI that required Z-plasty as secondary surgery between 2008 and 2017. Pre- and post-operative evaluation of velopharyngeal function was done perceptually and instrumentally by Nasometer. RESULTS: Median patient age at Z-plasty was 6.8 years (range 3.0-20.1). Of the 130 patients, preoperatively VPI was severe in 73 (56%), mild-to-moderate in 55 (42%), and borderline in 2 (2%). Postoperatively, 105 (81%) of patients achieved adequate (normal or borderline) velopharyngeal competence and 16 (12%) required second operation for residual VPI. The success rate was 84% in nonsyndromic patients, 79% in nonsyndromic Pierre Robin sequence patients, and 58% in syndromic patients. In syndromic children, the speech outcome was significantly worse than in nonsyndromic children (P = 0.014). Complications included wound healing problems in 3 patients (2%), mild infection in 1 patient (1%), postoperative bleeding in 1 (1%), and postoperative fistula in 2 (2%). CONCLUSION: Palatal re-repair with Z-plasty is a safe operation for VPI correction in patients with ICP with a success rate of 81%. In syndromic patients, the procedure did not seem to work as well as in nonsyndromic patients.","author":[{"dropping-particle":"","family":"Ahti","given":"Veera","non-dropping-particle":"","parse-names":false,"suffix":""},{"dropping-particle":"","family":"Alaluusua","given":"Suvi","non-dropping-particle":"","parse-names":false,"suffix":""},{"dropping-particle":"","family":"Vuola","given":"Pia","non-dropping-particle":"","parse-names":false,"suffix":""},{"dropping-particle":"","family":"Rautio","given":"Jorma","non-dropping-particle":"","parse-names":false,"suffix":""},{"dropping-particle":"","family":"Leikola","given":"Junnu","non-dropping-particle":"","parse-names":false,"suffix":""},{"dropping-particle":"","family":"Saarikko","given":"Anne","non-dropping-particle":"","parse-names":false,"suffix":""}],"container-title":"The Journal of craniofacial surgery","id":"ITEM-1","issue":"2","issued":{"date-parts":[["2021","3","1"]]},"page":"685-690","publisher":"NLM (Medline)","title":"Palatal Re-Repair With Z-Plasty in Treatment of Velopharyngeal Insufficiency of Syndromic and Nonsyndromic Patients With Cleft Palate","type":"article-journal","volume":"32"},"uris":["http://www.mendeley.com/documents/?uuid=72248f4c-8db1-3968-b4e0-dbab36962aca"]}],"mendeley":{"formattedCitation":"&lt;sup&gt;7&lt;/sup&gt;","plainTextFormattedCitation":"7","previouslyFormattedCitation":"&lt;sup&gt;7&lt;/sup&gt;"},"properties":{"noteIndex":0},"schema":"https://github.com/citation-style-language/schema/raw/master/csl-citation.json"}</w:instrText>
      </w:r>
      <w:r w:rsidR="00A26E01">
        <w:rPr>
          <w:lang w:eastAsia="en-IE"/>
        </w:rPr>
        <w:fldChar w:fldCharType="separate"/>
      </w:r>
      <w:r w:rsidR="00060656" w:rsidRPr="00060656">
        <w:rPr>
          <w:noProof/>
          <w:vertAlign w:val="superscript"/>
          <w:lang w:eastAsia="en-IE"/>
        </w:rPr>
        <w:t>7</w:t>
      </w:r>
      <w:r w:rsidR="00A26E01">
        <w:rPr>
          <w:lang w:eastAsia="en-IE"/>
        </w:rPr>
        <w:fldChar w:fldCharType="end"/>
      </w:r>
      <w:r w:rsidR="00A26E01">
        <w:rPr>
          <w:lang w:eastAsia="en-IE"/>
        </w:rPr>
        <w:t xml:space="preserve"> A meta-analysis of the literature reported a range of improved resonance from 18-100%, with 54.5% patients reported to have normal postoperative resonance.</w:t>
      </w:r>
      <w:r w:rsidR="00A26E01">
        <w:rPr>
          <w:lang w:eastAsia="en-IE"/>
        </w:rPr>
        <w:fldChar w:fldCharType="begin" w:fldLock="1"/>
      </w:r>
      <w:r w:rsidR="00B55D7D">
        <w:rPr>
          <w:lang w:eastAsia="en-IE"/>
        </w:rPr>
        <w:instrText>ADDIN CSL_CITATION {"citationItems":[{"id":"ITEM-1","itemData":{"DOI":"10.1177/1055665617735102","ISSN":"15451569","PMID":"29437504","abstract":"Objective: This systematic review sought to evaluate the consensus in the literature regarding the surgical management of VPD and to determine whether a particular procedure results in superior speech outcome or less morbidity Design: A systematic review was carried out according to PRISMA-P guidelines. Systematic review software was used to facilitate 3-stage screening and data extraction by 2 reviewers. Setting: University teaching hospital. Patients, Participants: Studies that reported perceptual speech assessment or obstructive sleep apnea (OSA) in patients who had undergone surgery for VPD were included in the review. Interventions: Four categories of surgery for VPD were examined—pharyngeal flap, sphincter pharyngoplasty, palatoplasty, and posterior pharyngeal wall augmentation. Main outcome measures: Perceptual speech assessment, need for further surgery, and occurrence of OSA were the outcomes of interest. Results: Eighty-three relevant studies were identified, comprising data on 4011 patients. Pharyngeal flap was the most common procedure (64% of patients). Overall, 70.7% of patients attained normal resonance and 65.3% attained normal nasal emission. There was no notable difference in speech outcomes, need for further surgery, or occurrence of OSA across the 4 categories of surgery examined. Heterogeneous groups of patients were reported upon and a variety of perceptual speech assessment scales were used. Conclusions: There is a lack of consensus in the literature to guide procedure selection for patients with VPD. The development of a standardized minimum data set to record postoperative speech, OSA, and patient-reported outcomes is required.","author":[{"dropping-particle":"","family":"Blacam","given":"Catherine","non-dropping-particle":"de","parse-names":false,"suffix":""},{"dropping-particle":"","family":"Smith","given":"Susan","non-dropping-particle":"","parse-names":false,"suffix":""},{"dropping-particle":"","family":"Orr","given":"David","non-dropping-particle":"","parse-names":false,"suffix":""}],"container-title":"Cleft Palate-Craniofacial Journal","id":"ITEM-1","issue":"3","issued":{"date-parts":[["2018","3","1"]]},"page":"405-422","publisher":"SAGE Publications Ltd","title":"Surgery for velopharyngeal dysfunction: A systematic review of interventions and outcomes","type":"article-journal","volume":"55"},"uris":["http://www.mendeley.com/documents/?uuid=0652fba1-c83b-3e01-bfaf-c21773cb45dc"]}],"mendeley":{"formattedCitation":"&lt;sup&gt;9&lt;/sup&gt;","plainTextFormattedCitation":"9","previouslyFormattedCitation":"&lt;sup&gt;9&lt;/sup&gt;"},"properties":{"noteIndex":0},"schema":"https://github.com/citation-style-language/schema/raw/master/csl-citation.json"}</w:instrText>
      </w:r>
      <w:r w:rsidR="00A26E01">
        <w:rPr>
          <w:lang w:eastAsia="en-IE"/>
        </w:rPr>
        <w:fldChar w:fldCharType="separate"/>
      </w:r>
      <w:r w:rsidR="00B55D7D" w:rsidRPr="00B55D7D">
        <w:rPr>
          <w:noProof/>
          <w:vertAlign w:val="superscript"/>
          <w:lang w:eastAsia="en-IE"/>
        </w:rPr>
        <w:t>9</w:t>
      </w:r>
      <w:r w:rsidR="00A26E01">
        <w:rPr>
          <w:lang w:eastAsia="en-IE"/>
        </w:rPr>
        <w:fldChar w:fldCharType="end"/>
      </w:r>
      <w:r w:rsidR="00A26E01">
        <w:rPr>
          <w:lang w:eastAsia="en-IE"/>
        </w:rPr>
        <w:t xml:space="preserve"> However, it is worth noting that this paper did not specify the inclusion or exclusion of PRS patients in these values, likely due to heterogeneity in the studies included. </w:t>
      </w:r>
    </w:p>
    <w:p w14:paraId="139FC3E4" w14:textId="4CC4F601" w:rsidR="00A26E01" w:rsidRDefault="00A26E01" w:rsidP="00A26E01">
      <w:pPr>
        <w:jc w:val="both"/>
        <w:rPr>
          <w:lang w:eastAsia="en-IE"/>
        </w:rPr>
      </w:pPr>
      <w:r>
        <w:rPr>
          <w:lang w:eastAsia="en-IE"/>
        </w:rPr>
        <w:t xml:space="preserve">Our re-operation rate for patients with syndromes was 27.7%, as compared to 14.9% in </w:t>
      </w:r>
      <w:proofErr w:type="spellStart"/>
      <w:r>
        <w:rPr>
          <w:lang w:eastAsia="en-IE"/>
        </w:rPr>
        <w:t>nonsyndromic</w:t>
      </w:r>
      <w:proofErr w:type="spellEnd"/>
      <w:r>
        <w:rPr>
          <w:lang w:eastAsia="en-IE"/>
        </w:rPr>
        <w:t xml:space="preserve"> patients. However, as with the data on palatal fistula presence, the number of patients in the syndromic group was too small (n=15) to allow meaningful analysis or comparison of results. 9/20 (45%) PRS and syndromic patients had no hypernasality following CPR-R, and 14/20 (70%) had hypernasality recorded as mild or better. Of syndromic patients who underwent further surgery, all had a recorded improvement in hypernasality postoperatively. </w:t>
      </w:r>
    </w:p>
    <w:p w14:paraId="3B73C7DC" w14:textId="54691EBA" w:rsidR="00A26E01" w:rsidRDefault="00A26E01" w:rsidP="00A26E01">
      <w:pPr>
        <w:pStyle w:val="Heading2"/>
        <w:rPr>
          <w:lang w:eastAsia="en-IE"/>
        </w:rPr>
      </w:pPr>
      <w:bookmarkStart w:id="28" w:name="_Toc129708572"/>
      <w:r>
        <w:rPr>
          <w:lang w:eastAsia="en-IE"/>
        </w:rPr>
        <w:t>Re-operation</w:t>
      </w:r>
      <w:bookmarkEnd w:id="28"/>
    </w:p>
    <w:p w14:paraId="5FCCB536" w14:textId="4BC90F9A" w:rsidR="00A26E01" w:rsidRDefault="00A26E01" w:rsidP="00A26E01">
      <w:pPr>
        <w:jc w:val="both"/>
        <w:rPr>
          <w:lang w:eastAsia="en-IE"/>
        </w:rPr>
      </w:pPr>
      <w:r>
        <w:rPr>
          <w:lang w:eastAsia="en-IE"/>
        </w:rPr>
        <w:t>In patients requiring re-operation, outcomes were not reported in any of the literature</w:t>
      </w:r>
      <w:r w:rsidR="00276F24">
        <w:rPr>
          <w:lang w:eastAsia="en-IE"/>
        </w:rPr>
        <w:t xml:space="preserve">. In our cohort, the mean time between CPR-R and re-operation if required was 37.4 months, with a wide range of 7.8 - 100.2 months. The decision to undertake further surgery was informed by both speech outcomes and results of </w:t>
      </w:r>
      <w:proofErr w:type="spellStart"/>
      <w:r w:rsidR="00276F24">
        <w:rPr>
          <w:lang w:eastAsia="en-IE"/>
        </w:rPr>
        <w:t>videofluoroscopy</w:t>
      </w:r>
      <w:proofErr w:type="spellEnd"/>
      <w:r w:rsidR="00276F24">
        <w:rPr>
          <w:lang w:eastAsia="en-IE"/>
        </w:rPr>
        <w:t xml:space="preserve"> investigations.  </w:t>
      </w:r>
    </w:p>
    <w:p w14:paraId="7950B4E2" w14:textId="01D41B29" w:rsidR="00276F24" w:rsidRDefault="00276F24" w:rsidP="00276F24">
      <w:pPr>
        <w:jc w:val="both"/>
        <w:rPr>
          <w:lang w:eastAsia="en-IE"/>
        </w:rPr>
      </w:pPr>
      <w:r>
        <w:rPr>
          <w:lang w:eastAsia="en-IE"/>
        </w:rPr>
        <w:t xml:space="preserve">Where re-operation was carried out, patients either underwent </w:t>
      </w:r>
      <w:proofErr w:type="spellStart"/>
      <w:r>
        <w:rPr>
          <w:lang w:eastAsia="en-IE"/>
        </w:rPr>
        <w:t>orticochea</w:t>
      </w:r>
      <w:proofErr w:type="spellEnd"/>
      <w:r>
        <w:rPr>
          <w:lang w:eastAsia="en-IE"/>
        </w:rPr>
        <w:t xml:space="preserve"> </w:t>
      </w:r>
      <w:proofErr w:type="spellStart"/>
      <w:r>
        <w:rPr>
          <w:lang w:eastAsia="en-IE"/>
        </w:rPr>
        <w:t>pharyngplasty</w:t>
      </w:r>
      <w:proofErr w:type="spellEnd"/>
      <w:r>
        <w:rPr>
          <w:lang w:eastAsia="en-IE"/>
        </w:rPr>
        <w:t xml:space="preserve"> or </w:t>
      </w:r>
      <w:r>
        <w:t xml:space="preserve">palatal lengthening with bilateral buccal flaps. It is worth noting that palatal lengthening with bilateral buccal </w:t>
      </w:r>
      <w:r>
        <w:lastRenderedPageBreak/>
        <w:t xml:space="preserve">flaps was the treatment of choice for those who underwent re-operation more recently. One patient required further subsequent speech surgery following palatal lengthening with bilateral buccal flaps, and </w:t>
      </w:r>
      <w:proofErr w:type="spellStart"/>
      <w:r>
        <w:t>orticochea</w:t>
      </w:r>
      <w:proofErr w:type="spellEnd"/>
      <w:r>
        <w:t xml:space="preserve"> pharyngoplasty was the further treatment of choice in this case. 50% of patients (9/18) who underwent re-operation had normal nasality on GOS.SP.ASS postoperatively, and 77.8% had either mild or normal hypernasality scores. No patient had severe hypernasality following re-operation.</w:t>
      </w:r>
      <w:r>
        <w:rPr>
          <w:lang w:eastAsia="en-IE"/>
        </w:rPr>
        <w:t xml:space="preserve"> </w:t>
      </w:r>
    </w:p>
    <w:p w14:paraId="55AB7913" w14:textId="35E8D18B" w:rsidR="0073199E" w:rsidRDefault="0073199E" w:rsidP="0073199E">
      <w:pPr>
        <w:pStyle w:val="Heading1"/>
      </w:pPr>
      <w:bookmarkStart w:id="29" w:name="_Toc129708573"/>
      <w:r>
        <w:t>Conclusions</w:t>
      </w:r>
      <w:bookmarkEnd w:id="29"/>
    </w:p>
    <w:p w14:paraId="0F807D0F" w14:textId="77777777" w:rsidR="0088444A" w:rsidRDefault="0088444A" w:rsidP="0088444A">
      <w:pPr>
        <w:jc w:val="both"/>
      </w:pPr>
      <w:r>
        <w:t xml:space="preserve">Within our unit, the records of 102 patients who underwent CPR-R over a 10-year period were evaluated retrospectively to determine success of surgery and speech outcomes. Within our cohort, CPR-R was generally a very successful operation, with 84.4% not requiring further speech surgery after postoperative review. </w:t>
      </w:r>
    </w:p>
    <w:p w14:paraId="3FBB9125" w14:textId="6F8CFEB0" w:rsidR="0073199E" w:rsidRDefault="0088444A" w:rsidP="0088444A">
      <w:pPr>
        <w:jc w:val="both"/>
      </w:pPr>
      <w:r>
        <w:t xml:space="preserve">Speech outcomes within our unit also compared favourably to the literature, with a large majority of patients showing an improvement in speech outcome measures following CPR-R. When re-operation outcomes were taken into consideration, all patients had improved speech outcomes on follow up and GOS.SP.ASS assessment. </w:t>
      </w:r>
    </w:p>
    <w:p w14:paraId="0F13A026" w14:textId="4D487DF0" w:rsidR="0088444A" w:rsidRDefault="0088444A" w:rsidP="0088444A">
      <w:pPr>
        <w:jc w:val="both"/>
      </w:pPr>
      <w:r>
        <w:t xml:space="preserve">The type of cleft, presence of a palatal fistula and a diagnosed syndrome may be </w:t>
      </w:r>
      <w:r w:rsidR="007C420C">
        <w:t xml:space="preserve">influencing </w:t>
      </w:r>
      <w:r>
        <w:t>factors in the success of CPR-R. However further and longer</w:t>
      </w:r>
      <w:r w:rsidR="001302D8">
        <w:t>-</w:t>
      </w:r>
      <w:r>
        <w:t>term</w:t>
      </w:r>
      <w:r w:rsidR="001302D8">
        <w:t xml:space="preserve"> studies </w:t>
      </w:r>
      <w:r>
        <w:t xml:space="preserve">are required </w:t>
      </w:r>
      <w:proofErr w:type="gramStart"/>
      <w:r>
        <w:t>in order to</w:t>
      </w:r>
      <w:proofErr w:type="gramEnd"/>
      <w:r>
        <w:t xml:space="preserve"> more comprehensively evaluate </w:t>
      </w:r>
      <w:r w:rsidR="003A5B39">
        <w:t>the impact these variables may have on the outcomes of surgery</w:t>
      </w:r>
      <w:r>
        <w:t xml:space="preserve">. </w:t>
      </w:r>
    </w:p>
    <w:p w14:paraId="36283925" w14:textId="72346F1C" w:rsidR="0088444A" w:rsidRDefault="0088444A" w:rsidP="0088444A">
      <w:pPr>
        <w:jc w:val="both"/>
      </w:pPr>
      <w:r>
        <w:t>The findings of the service evaluation presented can be used for comparison in future audit of CPR-R</w:t>
      </w:r>
      <w:r w:rsidR="001302D8">
        <w:t xml:space="preserve">, as </w:t>
      </w:r>
      <w:r w:rsidR="003A5B39">
        <w:t>well as to inform patients and their parents prior to CPR-R surgery.</w:t>
      </w:r>
    </w:p>
    <w:p w14:paraId="60977A48" w14:textId="2E3B18C3" w:rsidR="00CC1DE1" w:rsidRDefault="00CC1DE1" w:rsidP="0088444A">
      <w:pPr>
        <w:jc w:val="both"/>
      </w:pPr>
    </w:p>
    <w:p w14:paraId="2C31CD4E" w14:textId="0D9DE25C" w:rsidR="00CC1DE1" w:rsidRDefault="00CC1DE1" w:rsidP="0088444A">
      <w:pPr>
        <w:jc w:val="both"/>
      </w:pPr>
    </w:p>
    <w:p w14:paraId="7D019FA9" w14:textId="42571818" w:rsidR="00CC1DE1" w:rsidRDefault="00CC1DE1" w:rsidP="0088444A">
      <w:pPr>
        <w:jc w:val="both"/>
      </w:pPr>
    </w:p>
    <w:p w14:paraId="22443ABF" w14:textId="2E8E65B0" w:rsidR="00CC1DE1" w:rsidRDefault="00CC1DE1" w:rsidP="0088444A">
      <w:pPr>
        <w:jc w:val="both"/>
      </w:pPr>
    </w:p>
    <w:p w14:paraId="27DFE289" w14:textId="53027431" w:rsidR="00CC1DE1" w:rsidRDefault="00CC1DE1" w:rsidP="0088444A">
      <w:pPr>
        <w:jc w:val="both"/>
      </w:pPr>
    </w:p>
    <w:p w14:paraId="20304E26" w14:textId="7832D32E" w:rsidR="00CC1DE1" w:rsidRDefault="00CC1DE1" w:rsidP="0088444A">
      <w:pPr>
        <w:jc w:val="both"/>
      </w:pPr>
    </w:p>
    <w:p w14:paraId="50DC8193" w14:textId="3663B39A" w:rsidR="00CC1DE1" w:rsidRDefault="00CC1DE1" w:rsidP="0088444A">
      <w:pPr>
        <w:jc w:val="both"/>
      </w:pPr>
    </w:p>
    <w:p w14:paraId="29EDF490" w14:textId="28CBF515" w:rsidR="00CC1DE1" w:rsidRDefault="00CC1DE1" w:rsidP="0088444A">
      <w:pPr>
        <w:jc w:val="both"/>
      </w:pPr>
    </w:p>
    <w:p w14:paraId="3385E605" w14:textId="32D61AEB" w:rsidR="00CC1DE1" w:rsidRDefault="00CC1DE1" w:rsidP="0088444A">
      <w:pPr>
        <w:jc w:val="both"/>
      </w:pPr>
    </w:p>
    <w:p w14:paraId="5AD37FB0" w14:textId="7ED6665D" w:rsidR="00CC1DE1" w:rsidRDefault="00CC1DE1" w:rsidP="0088444A">
      <w:pPr>
        <w:jc w:val="both"/>
      </w:pPr>
    </w:p>
    <w:p w14:paraId="0221FF6A" w14:textId="6D504246" w:rsidR="00CC1DE1" w:rsidRDefault="00CC1DE1" w:rsidP="0088444A">
      <w:pPr>
        <w:jc w:val="both"/>
      </w:pPr>
    </w:p>
    <w:p w14:paraId="3B0B5D2F" w14:textId="3E02B841" w:rsidR="00CC1DE1" w:rsidRDefault="00CC1DE1" w:rsidP="0088444A">
      <w:pPr>
        <w:jc w:val="both"/>
      </w:pPr>
    </w:p>
    <w:p w14:paraId="096369D6" w14:textId="45DFF083" w:rsidR="00CC1DE1" w:rsidRDefault="00CC1DE1" w:rsidP="0088444A">
      <w:pPr>
        <w:jc w:val="both"/>
      </w:pPr>
    </w:p>
    <w:p w14:paraId="3B1AAD27" w14:textId="097189A9" w:rsidR="00CC1DE1" w:rsidRDefault="00CC1DE1" w:rsidP="0088444A">
      <w:pPr>
        <w:jc w:val="both"/>
      </w:pPr>
    </w:p>
    <w:p w14:paraId="63BADFB9" w14:textId="48449FEF" w:rsidR="00CC1DE1" w:rsidRDefault="00CC1DE1" w:rsidP="0088444A">
      <w:pPr>
        <w:jc w:val="both"/>
      </w:pPr>
    </w:p>
    <w:p w14:paraId="0BB86473" w14:textId="3BF25456" w:rsidR="00CC1DE1" w:rsidRDefault="00CC1DE1" w:rsidP="0088444A">
      <w:pPr>
        <w:jc w:val="both"/>
      </w:pPr>
    </w:p>
    <w:p w14:paraId="360C09F4" w14:textId="4DE8FA08" w:rsidR="00CC1DE1" w:rsidRDefault="00CC1DE1" w:rsidP="00CC1DE1">
      <w:pPr>
        <w:pStyle w:val="Heading1"/>
      </w:pPr>
      <w:bookmarkStart w:id="30" w:name="_Toc129708574"/>
      <w:r>
        <w:lastRenderedPageBreak/>
        <w:t>References</w:t>
      </w:r>
      <w:bookmarkEnd w:id="30"/>
    </w:p>
    <w:p w14:paraId="1EF240BF" w14:textId="63301FE6" w:rsidR="00CC1DE1" w:rsidRPr="00CC1DE1" w:rsidRDefault="00CC1DE1" w:rsidP="00CC1DE1">
      <w:pPr>
        <w:widowControl w:val="0"/>
        <w:autoSpaceDE w:val="0"/>
        <w:autoSpaceDN w:val="0"/>
        <w:adjustRightInd w:val="0"/>
        <w:spacing w:line="240" w:lineRule="auto"/>
        <w:ind w:left="640" w:hanging="640"/>
        <w:rPr>
          <w:rFonts w:ascii="Calibri" w:hAnsi="Calibri" w:cs="Calibri"/>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Pr="00CC1DE1">
        <w:rPr>
          <w:rFonts w:ascii="Calibri" w:hAnsi="Calibri" w:cs="Calibri"/>
          <w:noProof/>
          <w:szCs w:val="24"/>
        </w:rPr>
        <w:t xml:space="preserve">1. </w:t>
      </w:r>
      <w:r w:rsidRPr="00CC1DE1">
        <w:rPr>
          <w:rFonts w:ascii="Calibri" w:hAnsi="Calibri" w:cs="Calibri"/>
          <w:noProof/>
          <w:szCs w:val="24"/>
        </w:rPr>
        <w:tab/>
        <w:t xml:space="preserve">Fisher DM, Sommerlad BC. Cleft lip, cleft palate, and velopharyngeal insufficiency. </w:t>
      </w:r>
      <w:r w:rsidRPr="00CC1DE1">
        <w:rPr>
          <w:rFonts w:ascii="Calibri" w:hAnsi="Calibri" w:cs="Calibri"/>
          <w:i/>
          <w:iCs/>
          <w:noProof/>
          <w:szCs w:val="24"/>
        </w:rPr>
        <w:t>Plast Reconstr Surg</w:t>
      </w:r>
      <w:r w:rsidRPr="00CC1DE1">
        <w:rPr>
          <w:rFonts w:ascii="Calibri" w:hAnsi="Calibri" w:cs="Calibri"/>
          <w:noProof/>
          <w:szCs w:val="24"/>
        </w:rPr>
        <w:t>. 2011;128(4). doi:10.1097/PRS.0B013E3182268E1B</w:t>
      </w:r>
    </w:p>
    <w:p w14:paraId="4EAA9C61" w14:textId="77777777" w:rsidR="00CC1DE1" w:rsidRPr="00CC1DE1" w:rsidRDefault="00CC1DE1" w:rsidP="00CC1DE1">
      <w:pPr>
        <w:widowControl w:val="0"/>
        <w:autoSpaceDE w:val="0"/>
        <w:autoSpaceDN w:val="0"/>
        <w:adjustRightInd w:val="0"/>
        <w:spacing w:line="240" w:lineRule="auto"/>
        <w:ind w:left="640" w:hanging="640"/>
        <w:rPr>
          <w:rFonts w:ascii="Calibri" w:hAnsi="Calibri" w:cs="Calibri"/>
          <w:noProof/>
          <w:szCs w:val="24"/>
        </w:rPr>
      </w:pPr>
      <w:r w:rsidRPr="00CC1DE1">
        <w:rPr>
          <w:rFonts w:ascii="Calibri" w:hAnsi="Calibri" w:cs="Calibri"/>
          <w:noProof/>
          <w:szCs w:val="24"/>
        </w:rPr>
        <w:t xml:space="preserve">2. </w:t>
      </w:r>
      <w:r w:rsidRPr="00CC1DE1">
        <w:rPr>
          <w:rFonts w:ascii="Calibri" w:hAnsi="Calibri" w:cs="Calibri"/>
          <w:noProof/>
          <w:szCs w:val="24"/>
        </w:rPr>
        <w:tab/>
        <w:t xml:space="preserve">Kurnik NM, Weidler EM, Lien KM, et al. The Effectiveness of Palate Re-Repair for Treating Velopharyngeal Insufficiency: A Systematic Review and Meta-Analysis. </w:t>
      </w:r>
      <w:r w:rsidRPr="00CC1DE1">
        <w:rPr>
          <w:rFonts w:ascii="Calibri" w:hAnsi="Calibri" w:cs="Calibri"/>
          <w:i/>
          <w:iCs/>
          <w:noProof/>
          <w:szCs w:val="24"/>
        </w:rPr>
        <w:t>Cleft Palate-Craniofacial J</w:t>
      </w:r>
      <w:r w:rsidRPr="00CC1DE1">
        <w:rPr>
          <w:rFonts w:ascii="Calibri" w:hAnsi="Calibri" w:cs="Calibri"/>
          <w:noProof/>
          <w:szCs w:val="24"/>
        </w:rPr>
        <w:t>. 2020;57(7):860-871. doi:10.1177/1055665620902883</w:t>
      </w:r>
    </w:p>
    <w:p w14:paraId="023E0989" w14:textId="77777777" w:rsidR="00CC1DE1" w:rsidRPr="00CC1DE1" w:rsidRDefault="00CC1DE1" w:rsidP="00CC1DE1">
      <w:pPr>
        <w:widowControl w:val="0"/>
        <w:autoSpaceDE w:val="0"/>
        <w:autoSpaceDN w:val="0"/>
        <w:adjustRightInd w:val="0"/>
        <w:spacing w:line="240" w:lineRule="auto"/>
        <w:ind w:left="640" w:hanging="640"/>
        <w:rPr>
          <w:rFonts w:ascii="Calibri" w:hAnsi="Calibri" w:cs="Calibri"/>
          <w:noProof/>
          <w:szCs w:val="24"/>
        </w:rPr>
      </w:pPr>
      <w:r w:rsidRPr="00CC1DE1">
        <w:rPr>
          <w:rFonts w:ascii="Calibri" w:hAnsi="Calibri" w:cs="Calibri"/>
          <w:noProof/>
          <w:szCs w:val="24"/>
        </w:rPr>
        <w:t xml:space="preserve">3. </w:t>
      </w:r>
      <w:r w:rsidRPr="00CC1DE1">
        <w:rPr>
          <w:rFonts w:ascii="Calibri" w:hAnsi="Calibri" w:cs="Calibri"/>
          <w:noProof/>
          <w:szCs w:val="24"/>
        </w:rPr>
        <w:tab/>
        <w:t>Sommerlad BC, Henley M, Birch M, Harland K, Moiemen N, Boorman JG. Cleft palate re-repair-a clinical and radiographic study of 32 consecutive cases.</w:t>
      </w:r>
    </w:p>
    <w:p w14:paraId="21008D83" w14:textId="77777777" w:rsidR="00CC1DE1" w:rsidRPr="00CC1DE1" w:rsidRDefault="00CC1DE1" w:rsidP="00CC1DE1">
      <w:pPr>
        <w:widowControl w:val="0"/>
        <w:autoSpaceDE w:val="0"/>
        <w:autoSpaceDN w:val="0"/>
        <w:adjustRightInd w:val="0"/>
        <w:spacing w:line="240" w:lineRule="auto"/>
        <w:ind w:left="640" w:hanging="640"/>
        <w:rPr>
          <w:rFonts w:ascii="Calibri" w:hAnsi="Calibri" w:cs="Calibri"/>
          <w:noProof/>
          <w:szCs w:val="24"/>
        </w:rPr>
      </w:pPr>
      <w:r w:rsidRPr="00CC1DE1">
        <w:rPr>
          <w:rFonts w:ascii="Calibri" w:hAnsi="Calibri" w:cs="Calibri"/>
          <w:noProof/>
          <w:szCs w:val="24"/>
        </w:rPr>
        <w:t xml:space="preserve">4. </w:t>
      </w:r>
      <w:r w:rsidRPr="00CC1DE1">
        <w:rPr>
          <w:rFonts w:ascii="Calibri" w:hAnsi="Calibri" w:cs="Calibri"/>
          <w:noProof/>
          <w:szCs w:val="24"/>
        </w:rPr>
        <w:tab/>
        <w:t xml:space="preserve">Sommerlad BC, Mehendale F V., Birch MJ, Sell D, Hattee C, Harland K. Palate Re-Repair Revisited. </w:t>
      </w:r>
      <w:r w:rsidRPr="00CC1DE1">
        <w:rPr>
          <w:rFonts w:ascii="Calibri" w:hAnsi="Calibri" w:cs="Calibri"/>
          <w:i/>
          <w:iCs/>
          <w:noProof/>
          <w:szCs w:val="24"/>
        </w:rPr>
        <w:t>Cleft Palate-Craniofacial J</w:t>
      </w:r>
      <w:r w:rsidRPr="00CC1DE1">
        <w:rPr>
          <w:rFonts w:ascii="Calibri" w:hAnsi="Calibri" w:cs="Calibri"/>
          <w:noProof/>
          <w:szCs w:val="24"/>
        </w:rPr>
        <w:t>. 2002;39(3):295-307. doi:10.1597/1545-1569_2002_039_0295_PRRR_2.0.CO_2</w:t>
      </w:r>
    </w:p>
    <w:p w14:paraId="2D418BAC" w14:textId="77777777" w:rsidR="00CC1DE1" w:rsidRPr="00CC1DE1" w:rsidRDefault="00CC1DE1" w:rsidP="00CC1DE1">
      <w:pPr>
        <w:widowControl w:val="0"/>
        <w:autoSpaceDE w:val="0"/>
        <w:autoSpaceDN w:val="0"/>
        <w:adjustRightInd w:val="0"/>
        <w:spacing w:line="240" w:lineRule="auto"/>
        <w:ind w:left="640" w:hanging="640"/>
        <w:rPr>
          <w:rFonts w:ascii="Calibri" w:hAnsi="Calibri" w:cs="Calibri"/>
          <w:noProof/>
          <w:szCs w:val="24"/>
        </w:rPr>
      </w:pPr>
      <w:r w:rsidRPr="00CC1DE1">
        <w:rPr>
          <w:rFonts w:ascii="Calibri" w:hAnsi="Calibri" w:cs="Calibri"/>
          <w:noProof/>
          <w:szCs w:val="24"/>
        </w:rPr>
        <w:t xml:space="preserve">5. </w:t>
      </w:r>
      <w:r w:rsidRPr="00CC1DE1">
        <w:rPr>
          <w:rFonts w:ascii="Calibri" w:hAnsi="Calibri" w:cs="Calibri"/>
          <w:noProof/>
          <w:szCs w:val="24"/>
        </w:rPr>
        <w:tab/>
        <w:t xml:space="preserve">John A, Sell D, Sweeney T, Harding-Bell A, Williams A. The Cleft Audit Protocol for Speech—Augmented: A Validated and Reliable Measure for Auditing Cleft Speech. </w:t>
      </w:r>
      <w:r w:rsidRPr="00CC1DE1">
        <w:rPr>
          <w:rFonts w:ascii="Calibri" w:hAnsi="Calibri" w:cs="Calibri"/>
          <w:i/>
          <w:iCs/>
          <w:noProof/>
          <w:szCs w:val="24"/>
        </w:rPr>
        <w:t>Cleft Palate-Craniofacial J</w:t>
      </w:r>
      <w:r w:rsidRPr="00CC1DE1">
        <w:rPr>
          <w:rFonts w:ascii="Calibri" w:hAnsi="Calibri" w:cs="Calibri"/>
          <w:noProof/>
          <w:szCs w:val="24"/>
        </w:rPr>
        <w:t>. 2006;43(3):272-288. doi:10.1597/04-141.1</w:t>
      </w:r>
    </w:p>
    <w:p w14:paraId="46980EFD" w14:textId="77777777" w:rsidR="00CC1DE1" w:rsidRPr="00CC1DE1" w:rsidRDefault="00CC1DE1" w:rsidP="00CC1DE1">
      <w:pPr>
        <w:widowControl w:val="0"/>
        <w:autoSpaceDE w:val="0"/>
        <w:autoSpaceDN w:val="0"/>
        <w:adjustRightInd w:val="0"/>
        <w:spacing w:line="240" w:lineRule="auto"/>
        <w:ind w:left="640" w:hanging="640"/>
        <w:rPr>
          <w:rFonts w:ascii="Calibri" w:hAnsi="Calibri" w:cs="Calibri"/>
          <w:noProof/>
          <w:szCs w:val="24"/>
        </w:rPr>
      </w:pPr>
      <w:r w:rsidRPr="00CC1DE1">
        <w:rPr>
          <w:rFonts w:ascii="Calibri" w:hAnsi="Calibri" w:cs="Calibri"/>
          <w:noProof/>
          <w:szCs w:val="24"/>
        </w:rPr>
        <w:t xml:space="preserve">6. </w:t>
      </w:r>
      <w:r w:rsidRPr="00CC1DE1">
        <w:rPr>
          <w:rFonts w:ascii="Calibri" w:hAnsi="Calibri" w:cs="Calibri"/>
          <w:noProof/>
          <w:szCs w:val="24"/>
        </w:rPr>
        <w:tab/>
        <w:t xml:space="preserve">Grunwell DSAHP. GOS.SP.ASS.’98: An assessment for speech disorders associated with cleft palate and/or velopharyngeal dysfunction (revised). </w:t>
      </w:r>
      <w:r w:rsidRPr="00CC1DE1">
        <w:rPr>
          <w:rFonts w:ascii="Calibri" w:hAnsi="Calibri" w:cs="Calibri"/>
          <w:i/>
          <w:iCs/>
          <w:noProof/>
          <w:szCs w:val="24"/>
        </w:rPr>
        <w:t>Int J Lang Commun Disord</w:t>
      </w:r>
      <w:r w:rsidRPr="00CC1DE1">
        <w:rPr>
          <w:rFonts w:ascii="Calibri" w:hAnsi="Calibri" w:cs="Calibri"/>
          <w:noProof/>
          <w:szCs w:val="24"/>
        </w:rPr>
        <w:t>. 1999;34(1):17-33. doi:10.1080/136828299247595</w:t>
      </w:r>
    </w:p>
    <w:p w14:paraId="5283E104" w14:textId="77777777" w:rsidR="00CC1DE1" w:rsidRPr="00CC1DE1" w:rsidRDefault="00CC1DE1" w:rsidP="00CC1DE1">
      <w:pPr>
        <w:widowControl w:val="0"/>
        <w:autoSpaceDE w:val="0"/>
        <w:autoSpaceDN w:val="0"/>
        <w:adjustRightInd w:val="0"/>
        <w:spacing w:line="240" w:lineRule="auto"/>
        <w:ind w:left="640" w:hanging="640"/>
        <w:rPr>
          <w:rFonts w:ascii="Calibri" w:hAnsi="Calibri" w:cs="Calibri"/>
          <w:noProof/>
          <w:szCs w:val="24"/>
        </w:rPr>
      </w:pPr>
      <w:r w:rsidRPr="00CC1DE1">
        <w:rPr>
          <w:rFonts w:ascii="Calibri" w:hAnsi="Calibri" w:cs="Calibri"/>
          <w:noProof/>
          <w:szCs w:val="24"/>
        </w:rPr>
        <w:t xml:space="preserve">7. </w:t>
      </w:r>
      <w:r w:rsidRPr="00CC1DE1">
        <w:rPr>
          <w:rFonts w:ascii="Calibri" w:hAnsi="Calibri" w:cs="Calibri"/>
          <w:noProof/>
          <w:szCs w:val="24"/>
        </w:rPr>
        <w:tab/>
        <w:t xml:space="preserve">Ahti V, Alaluusua S, Vuola P, Rautio J, Leikola J, Saarikko A. Palatal Re-Repair With Z-Plasty in Treatment of Velopharyngeal Insufficiency of Syndromic and Nonsyndromic Patients With Cleft Palate. </w:t>
      </w:r>
      <w:r w:rsidRPr="00CC1DE1">
        <w:rPr>
          <w:rFonts w:ascii="Calibri" w:hAnsi="Calibri" w:cs="Calibri"/>
          <w:i/>
          <w:iCs/>
          <w:noProof/>
          <w:szCs w:val="24"/>
        </w:rPr>
        <w:t>J Craniofac Surg</w:t>
      </w:r>
      <w:r w:rsidRPr="00CC1DE1">
        <w:rPr>
          <w:rFonts w:ascii="Calibri" w:hAnsi="Calibri" w:cs="Calibri"/>
          <w:noProof/>
          <w:szCs w:val="24"/>
        </w:rPr>
        <w:t>. 2021;32(2):685-690. doi:10.1097/SCS.0000000000007343</w:t>
      </w:r>
    </w:p>
    <w:p w14:paraId="285C3FE1" w14:textId="77777777" w:rsidR="00CC1DE1" w:rsidRPr="00CC1DE1" w:rsidRDefault="00CC1DE1" w:rsidP="00CC1DE1">
      <w:pPr>
        <w:widowControl w:val="0"/>
        <w:autoSpaceDE w:val="0"/>
        <w:autoSpaceDN w:val="0"/>
        <w:adjustRightInd w:val="0"/>
        <w:spacing w:line="240" w:lineRule="auto"/>
        <w:ind w:left="640" w:hanging="640"/>
        <w:rPr>
          <w:rFonts w:ascii="Calibri" w:hAnsi="Calibri" w:cs="Calibri"/>
          <w:noProof/>
          <w:szCs w:val="24"/>
        </w:rPr>
      </w:pPr>
      <w:r w:rsidRPr="00CC1DE1">
        <w:rPr>
          <w:rFonts w:ascii="Calibri" w:hAnsi="Calibri" w:cs="Calibri"/>
          <w:noProof/>
          <w:szCs w:val="24"/>
        </w:rPr>
        <w:t xml:space="preserve">8. </w:t>
      </w:r>
      <w:r w:rsidRPr="00CC1DE1">
        <w:rPr>
          <w:rFonts w:ascii="Calibri" w:hAnsi="Calibri" w:cs="Calibri"/>
          <w:noProof/>
          <w:szCs w:val="24"/>
        </w:rPr>
        <w:tab/>
        <w:t xml:space="preserve">Carvajal Álvarez DC, Palomares-Aguilera MM, Meneses Geldres MB, Villarroel Giugliano C. Primary Palatal Surgery in Nonsyndromic Cleft Palate Children and Velopharyngeal Insufficiency Correction Outcomes. </w:t>
      </w:r>
      <w:r w:rsidRPr="00CC1DE1">
        <w:rPr>
          <w:rFonts w:ascii="Calibri" w:hAnsi="Calibri" w:cs="Calibri"/>
          <w:i/>
          <w:iCs/>
          <w:noProof/>
          <w:szCs w:val="24"/>
        </w:rPr>
        <w:t>J Craniofac Surg</w:t>
      </w:r>
      <w:r w:rsidRPr="00CC1DE1">
        <w:rPr>
          <w:rFonts w:ascii="Calibri" w:hAnsi="Calibri" w:cs="Calibri"/>
          <w:noProof/>
          <w:szCs w:val="24"/>
        </w:rPr>
        <w:t>. 2021;32(2):698-704. doi:10.1097/SCS.0000000000007514</w:t>
      </w:r>
    </w:p>
    <w:p w14:paraId="760B6404" w14:textId="77777777" w:rsidR="00CC1DE1" w:rsidRPr="00CC1DE1" w:rsidRDefault="00CC1DE1" w:rsidP="00CC1DE1">
      <w:pPr>
        <w:widowControl w:val="0"/>
        <w:autoSpaceDE w:val="0"/>
        <w:autoSpaceDN w:val="0"/>
        <w:adjustRightInd w:val="0"/>
        <w:spacing w:line="240" w:lineRule="auto"/>
        <w:ind w:left="640" w:hanging="640"/>
        <w:rPr>
          <w:rFonts w:ascii="Calibri" w:hAnsi="Calibri" w:cs="Calibri"/>
          <w:noProof/>
          <w:szCs w:val="24"/>
        </w:rPr>
      </w:pPr>
      <w:r w:rsidRPr="00CC1DE1">
        <w:rPr>
          <w:rFonts w:ascii="Calibri" w:hAnsi="Calibri" w:cs="Calibri"/>
          <w:noProof/>
          <w:szCs w:val="24"/>
        </w:rPr>
        <w:t xml:space="preserve">9. </w:t>
      </w:r>
      <w:r w:rsidRPr="00CC1DE1">
        <w:rPr>
          <w:rFonts w:ascii="Calibri" w:hAnsi="Calibri" w:cs="Calibri"/>
          <w:noProof/>
          <w:szCs w:val="24"/>
        </w:rPr>
        <w:tab/>
        <w:t xml:space="preserve">de Blacam C, Smith S, Orr D. Surgery for velopharyngeal dysfunction: A systematic review of interventions and outcomes. </w:t>
      </w:r>
      <w:r w:rsidRPr="00CC1DE1">
        <w:rPr>
          <w:rFonts w:ascii="Calibri" w:hAnsi="Calibri" w:cs="Calibri"/>
          <w:i/>
          <w:iCs/>
          <w:noProof/>
          <w:szCs w:val="24"/>
        </w:rPr>
        <w:t>Cleft Palate-Craniofacial J</w:t>
      </w:r>
      <w:r w:rsidRPr="00CC1DE1">
        <w:rPr>
          <w:rFonts w:ascii="Calibri" w:hAnsi="Calibri" w:cs="Calibri"/>
          <w:noProof/>
          <w:szCs w:val="24"/>
        </w:rPr>
        <w:t>. 2018;55(3):405-422. doi:10.1177/1055665617735102</w:t>
      </w:r>
    </w:p>
    <w:p w14:paraId="2E08E005" w14:textId="77777777" w:rsidR="00CC1DE1" w:rsidRPr="00CC1DE1" w:rsidRDefault="00CC1DE1" w:rsidP="00CC1DE1">
      <w:pPr>
        <w:widowControl w:val="0"/>
        <w:autoSpaceDE w:val="0"/>
        <w:autoSpaceDN w:val="0"/>
        <w:adjustRightInd w:val="0"/>
        <w:spacing w:line="240" w:lineRule="auto"/>
        <w:ind w:left="640" w:hanging="640"/>
        <w:rPr>
          <w:rFonts w:ascii="Calibri" w:hAnsi="Calibri" w:cs="Calibri"/>
          <w:noProof/>
        </w:rPr>
      </w:pPr>
      <w:r w:rsidRPr="00CC1DE1">
        <w:rPr>
          <w:rFonts w:ascii="Calibri" w:hAnsi="Calibri" w:cs="Calibri"/>
          <w:noProof/>
          <w:szCs w:val="24"/>
        </w:rPr>
        <w:t xml:space="preserve">10. </w:t>
      </w:r>
      <w:r w:rsidRPr="00CC1DE1">
        <w:rPr>
          <w:rFonts w:ascii="Calibri" w:hAnsi="Calibri" w:cs="Calibri"/>
          <w:noProof/>
          <w:szCs w:val="24"/>
        </w:rPr>
        <w:tab/>
        <w:t xml:space="preserve">Hardwicke JT, Landini G, Richard BM. Fistula incidence after primary cleft palate repair: a systematic review of the literature. </w:t>
      </w:r>
      <w:r w:rsidRPr="00CC1DE1">
        <w:rPr>
          <w:rFonts w:ascii="Calibri" w:hAnsi="Calibri" w:cs="Calibri"/>
          <w:i/>
          <w:iCs/>
          <w:noProof/>
          <w:szCs w:val="24"/>
        </w:rPr>
        <w:t>Plast Reconstr Surg</w:t>
      </w:r>
      <w:r w:rsidRPr="00CC1DE1">
        <w:rPr>
          <w:rFonts w:ascii="Calibri" w:hAnsi="Calibri" w:cs="Calibri"/>
          <w:noProof/>
          <w:szCs w:val="24"/>
        </w:rPr>
        <w:t>. 2014;134(4):618e-627e. doi:10.1097/PRS.0000000000000548</w:t>
      </w:r>
    </w:p>
    <w:p w14:paraId="056A0234" w14:textId="0D8284DF" w:rsidR="00CC1DE1" w:rsidRPr="007B7C0A" w:rsidRDefault="00CC1DE1" w:rsidP="0088444A">
      <w:pPr>
        <w:jc w:val="both"/>
        <w:rPr>
          <w:lang w:val="en-GB"/>
        </w:rPr>
      </w:pPr>
      <w:r>
        <w:rPr>
          <w:lang w:val="en-GB"/>
        </w:rPr>
        <w:fldChar w:fldCharType="end"/>
      </w:r>
    </w:p>
    <w:sectPr w:rsidR="00CC1DE1" w:rsidRPr="007B7C0A" w:rsidSect="007B7B37">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E058D" w14:textId="77777777" w:rsidR="00901F4E" w:rsidRDefault="00901F4E" w:rsidP="00361B89">
      <w:pPr>
        <w:spacing w:after="0" w:line="240" w:lineRule="auto"/>
      </w:pPr>
      <w:r>
        <w:separator/>
      </w:r>
    </w:p>
  </w:endnote>
  <w:endnote w:type="continuationSeparator" w:id="0">
    <w:p w14:paraId="655B2090" w14:textId="77777777" w:rsidR="00901F4E" w:rsidRDefault="00901F4E" w:rsidP="0036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4D00E" w14:textId="77777777" w:rsidR="00901F4E" w:rsidRDefault="00901F4E" w:rsidP="00361B89">
      <w:pPr>
        <w:spacing w:after="0" w:line="240" w:lineRule="auto"/>
      </w:pPr>
      <w:r>
        <w:separator/>
      </w:r>
    </w:p>
  </w:footnote>
  <w:footnote w:type="continuationSeparator" w:id="0">
    <w:p w14:paraId="252CD517" w14:textId="77777777" w:rsidR="00901F4E" w:rsidRDefault="00901F4E" w:rsidP="00361B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03D69"/>
    <w:multiLevelType w:val="hybridMultilevel"/>
    <w:tmpl w:val="3EC68F7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53BE70DD"/>
    <w:multiLevelType w:val="hybridMultilevel"/>
    <w:tmpl w:val="E116BEFC"/>
    <w:lvl w:ilvl="0" w:tplc="D9DA1B8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30425948">
    <w:abstractNumId w:val="0"/>
  </w:num>
  <w:num w:numId="2" w16cid:durableId="873422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29"/>
    <w:rsid w:val="000009EC"/>
    <w:rsid w:val="0001425C"/>
    <w:rsid w:val="00050CBB"/>
    <w:rsid w:val="00060656"/>
    <w:rsid w:val="00075B0C"/>
    <w:rsid w:val="000770C4"/>
    <w:rsid w:val="00085933"/>
    <w:rsid w:val="000B1452"/>
    <w:rsid w:val="000B455F"/>
    <w:rsid w:val="000D2A0A"/>
    <w:rsid w:val="000F5E23"/>
    <w:rsid w:val="00126BCE"/>
    <w:rsid w:val="001302D8"/>
    <w:rsid w:val="001328F8"/>
    <w:rsid w:val="00140CA1"/>
    <w:rsid w:val="001D1EE6"/>
    <w:rsid w:val="001F0A6C"/>
    <w:rsid w:val="00202FC5"/>
    <w:rsid w:val="002377E6"/>
    <w:rsid w:val="00276744"/>
    <w:rsid w:val="00276F24"/>
    <w:rsid w:val="002A2673"/>
    <w:rsid w:val="002B414F"/>
    <w:rsid w:val="002D2D5E"/>
    <w:rsid w:val="00301DBA"/>
    <w:rsid w:val="00352712"/>
    <w:rsid w:val="00361B89"/>
    <w:rsid w:val="00397D26"/>
    <w:rsid w:val="003A2632"/>
    <w:rsid w:val="003A5B39"/>
    <w:rsid w:val="003F268F"/>
    <w:rsid w:val="00400361"/>
    <w:rsid w:val="004031E2"/>
    <w:rsid w:val="00414C7F"/>
    <w:rsid w:val="00415048"/>
    <w:rsid w:val="0041668D"/>
    <w:rsid w:val="00445375"/>
    <w:rsid w:val="004465D6"/>
    <w:rsid w:val="004466EF"/>
    <w:rsid w:val="00462DCA"/>
    <w:rsid w:val="004A0899"/>
    <w:rsid w:val="004C64BD"/>
    <w:rsid w:val="004D0BE6"/>
    <w:rsid w:val="004F7CB1"/>
    <w:rsid w:val="00504BAC"/>
    <w:rsid w:val="00512D07"/>
    <w:rsid w:val="00526281"/>
    <w:rsid w:val="00571C79"/>
    <w:rsid w:val="00587D93"/>
    <w:rsid w:val="00596955"/>
    <w:rsid w:val="005A150C"/>
    <w:rsid w:val="006055A7"/>
    <w:rsid w:val="00606087"/>
    <w:rsid w:val="0063026B"/>
    <w:rsid w:val="00630801"/>
    <w:rsid w:val="00663306"/>
    <w:rsid w:val="006A1FA8"/>
    <w:rsid w:val="006B296C"/>
    <w:rsid w:val="006C22A8"/>
    <w:rsid w:val="00703332"/>
    <w:rsid w:val="0073199E"/>
    <w:rsid w:val="00753DB8"/>
    <w:rsid w:val="007B10A2"/>
    <w:rsid w:val="007B7B37"/>
    <w:rsid w:val="007B7C0A"/>
    <w:rsid w:val="007C420C"/>
    <w:rsid w:val="007C4BBB"/>
    <w:rsid w:val="007C7470"/>
    <w:rsid w:val="007E5E57"/>
    <w:rsid w:val="007F54F4"/>
    <w:rsid w:val="00847701"/>
    <w:rsid w:val="008767E9"/>
    <w:rsid w:val="0088444A"/>
    <w:rsid w:val="008A22C7"/>
    <w:rsid w:val="008C11FD"/>
    <w:rsid w:val="008C7DFF"/>
    <w:rsid w:val="008E2226"/>
    <w:rsid w:val="008E382F"/>
    <w:rsid w:val="008F382B"/>
    <w:rsid w:val="008F7AA4"/>
    <w:rsid w:val="00901F4E"/>
    <w:rsid w:val="009469BE"/>
    <w:rsid w:val="00951E9C"/>
    <w:rsid w:val="00981F9D"/>
    <w:rsid w:val="009A4EA5"/>
    <w:rsid w:val="009D3028"/>
    <w:rsid w:val="009D7287"/>
    <w:rsid w:val="009D7291"/>
    <w:rsid w:val="009F4D11"/>
    <w:rsid w:val="00A14040"/>
    <w:rsid w:val="00A203A7"/>
    <w:rsid w:val="00A26E01"/>
    <w:rsid w:val="00A35FE2"/>
    <w:rsid w:val="00A40655"/>
    <w:rsid w:val="00A5024C"/>
    <w:rsid w:val="00A9342F"/>
    <w:rsid w:val="00AA4B5F"/>
    <w:rsid w:val="00AD1654"/>
    <w:rsid w:val="00B06D9A"/>
    <w:rsid w:val="00B21906"/>
    <w:rsid w:val="00B51D29"/>
    <w:rsid w:val="00B53A2F"/>
    <w:rsid w:val="00B54C22"/>
    <w:rsid w:val="00B55D7D"/>
    <w:rsid w:val="00BB4740"/>
    <w:rsid w:val="00BC311A"/>
    <w:rsid w:val="00C06165"/>
    <w:rsid w:val="00C47AB5"/>
    <w:rsid w:val="00C543BC"/>
    <w:rsid w:val="00CA572B"/>
    <w:rsid w:val="00CC1DE1"/>
    <w:rsid w:val="00CC266F"/>
    <w:rsid w:val="00D16625"/>
    <w:rsid w:val="00D250BD"/>
    <w:rsid w:val="00D33AD2"/>
    <w:rsid w:val="00DA2FE1"/>
    <w:rsid w:val="00DC2377"/>
    <w:rsid w:val="00DC4625"/>
    <w:rsid w:val="00E05BAE"/>
    <w:rsid w:val="00E121E7"/>
    <w:rsid w:val="00E303B3"/>
    <w:rsid w:val="00E56013"/>
    <w:rsid w:val="00E647FA"/>
    <w:rsid w:val="00E72D47"/>
    <w:rsid w:val="00E845D9"/>
    <w:rsid w:val="00EB779B"/>
    <w:rsid w:val="00EC1C60"/>
    <w:rsid w:val="00ED608E"/>
    <w:rsid w:val="00EF7B04"/>
    <w:rsid w:val="00F10F3D"/>
    <w:rsid w:val="00F56594"/>
    <w:rsid w:val="00F73A29"/>
    <w:rsid w:val="00F909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2D228"/>
  <w15:chartTrackingRefBased/>
  <w15:docId w15:val="{A446632C-F7CD-45CE-B77F-5387637A5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E01"/>
  </w:style>
  <w:style w:type="paragraph" w:styleId="Heading1">
    <w:name w:val="heading 1"/>
    <w:basedOn w:val="Normal"/>
    <w:next w:val="Normal"/>
    <w:link w:val="Heading1Char"/>
    <w:uiPriority w:val="9"/>
    <w:qFormat/>
    <w:rsid w:val="00BB4740"/>
    <w:pPr>
      <w:keepNext/>
      <w:keepLines/>
      <w:spacing w:before="240" w:after="0"/>
      <w:outlineLvl w:val="0"/>
    </w:pPr>
    <w:rPr>
      <w:rFonts w:asciiTheme="majorHAnsi" w:eastAsiaTheme="majorEastAsia" w:hAnsiTheme="majorHAnsi" w:cstheme="majorBidi"/>
      <w:color w:val="C45911" w:themeColor="accent2" w:themeShade="BF"/>
      <w:sz w:val="32"/>
      <w:szCs w:val="32"/>
    </w:rPr>
  </w:style>
  <w:style w:type="paragraph" w:styleId="Heading2">
    <w:name w:val="heading 2"/>
    <w:basedOn w:val="Normal"/>
    <w:next w:val="Normal"/>
    <w:link w:val="Heading2Char"/>
    <w:uiPriority w:val="9"/>
    <w:unhideWhenUsed/>
    <w:qFormat/>
    <w:rsid w:val="00BB4740"/>
    <w:pPr>
      <w:keepNext/>
      <w:keepLines/>
      <w:spacing w:after="0"/>
      <w:outlineLvl w:val="1"/>
    </w:pPr>
    <w:rPr>
      <w:rFonts w:asciiTheme="majorHAnsi" w:eastAsiaTheme="majorEastAsia" w:hAnsiTheme="majorHAnsi" w:cstheme="majorBidi"/>
      <w:color w:val="ED7D31" w:themeColor="accent2"/>
      <w:sz w:val="26"/>
      <w:szCs w:val="26"/>
    </w:rPr>
  </w:style>
  <w:style w:type="paragraph" w:styleId="Heading3">
    <w:name w:val="heading 3"/>
    <w:basedOn w:val="Normal"/>
    <w:next w:val="Normal"/>
    <w:link w:val="Heading3Char"/>
    <w:uiPriority w:val="9"/>
    <w:unhideWhenUsed/>
    <w:qFormat/>
    <w:rsid w:val="00BB4740"/>
    <w:pPr>
      <w:keepNext/>
      <w:keepLines/>
      <w:spacing w:before="40" w:after="0"/>
      <w:outlineLvl w:val="2"/>
    </w:pPr>
    <w:rPr>
      <w:rFonts w:asciiTheme="majorHAnsi" w:eastAsiaTheme="majorEastAsia" w:hAnsiTheme="majorHAnsi" w:cstheme="majorBidi"/>
      <w:color w:val="833C0B" w:themeColor="accent2" w:themeShade="80"/>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3A2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73A29"/>
    <w:rPr>
      <w:rFonts w:eastAsiaTheme="minorEastAsia"/>
      <w:lang w:val="en-US"/>
    </w:rPr>
  </w:style>
  <w:style w:type="character" w:customStyle="1" w:styleId="Heading1Char">
    <w:name w:val="Heading 1 Char"/>
    <w:basedOn w:val="DefaultParagraphFont"/>
    <w:link w:val="Heading1"/>
    <w:uiPriority w:val="9"/>
    <w:rsid w:val="00BB4740"/>
    <w:rPr>
      <w:rFonts w:asciiTheme="majorHAnsi" w:eastAsiaTheme="majorEastAsia" w:hAnsiTheme="majorHAnsi" w:cstheme="majorBidi"/>
      <w:color w:val="C45911" w:themeColor="accent2" w:themeShade="BF"/>
      <w:sz w:val="32"/>
      <w:szCs w:val="32"/>
    </w:rPr>
  </w:style>
  <w:style w:type="paragraph" w:styleId="NormalWeb">
    <w:name w:val="Normal (Web)"/>
    <w:basedOn w:val="Normal"/>
    <w:uiPriority w:val="99"/>
    <w:semiHidden/>
    <w:unhideWhenUsed/>
    <w:rsid w:val="00F73A2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F73A29"/>
    <w:rPr>
      <w:color w:val="0000FF"/>
      <w:u w:val="single"/>
    </w:rPr>
  </w:style>
  <w:style w:type="character" w:styleId="Strong">
    <w:name w:val="Strong"/>
    <w:basedOn w:val="DefaultParagraphFont"/>
    <w:uiPriority w:val="22"/>
    <w:qFormat/>
    <w:rsid w:val="00F73A29"/>
    <w:rPr>
      <w:b/>
      <w:bCs/>
    </w:rPr>
  </w:style>
  <w:style w:type="paragraph" w:styleId="ListParagraph">
    <w:name w:val="List Paragraph"/>
    <w:basedOn w:val="Normal"/>
    <w:uiPriority w:val="34"/>
    <w:qFormat/>
    <w:rsid w:val="00F73A29"/>
    <w:pPr>
      <w:ind w:left="720"/>
      <w:contextualSpacing/>
    </w:pPr>
  </w:style>
  <w:style w:type="paragraph" w:customStyle="1" w:styleId="xmsonormal">
    <w:name w:val="x_msonormal"/>
    <w:basedOn w:val="Normal"/>
    <w:rsid w:val="00AA4B5F"/>
    <w:pPr>
      <w:spacing w:after="0" w:line="240" w:lineRule="auto"/>
    </w:pPr>
    <w:rPr>
      <w:rFonts w:ascii="Calibri" w:hAnsi="Calibri" w:cs="Calibri"/>
      <w:lang w:eastAsia="en-IE"/>
    </w:rPr>
  </w:style>
  <w:style w:type="character" w:customStyle="1" w:styleId="Heading2Char">
    <w:name w:val="Heading 2 Char"/>
    <w:basedOn w:val="DefaultParagraphFont"/>
    <w:link w:val="Heading2"/>
    <w:uiPriority w:val="9"/>
    <w:rsid w:val="00BB4740"/>
    <w:rPr>
      <w:rFonts w:asciiTheme="majorHAnsi" w:eastAsiaTheme="majorEastAsia" w:hAnsiTheme="majorHAnsi" w:cstheme="majorBidi"/>
      <w:color w:val="ED7D31" w:themeColor="accent2"/>
      <w:sz w:val="26"/>
      <w:szCs w:val="26"/>
    </w:rPr>
  </w:style>
  <w:style w:type="character" w:customStyle="1" w:styleId="Heading3Char">
    <w:name w:val="Heading 3 Char"/>
    <w:basedOn w:val="DefaultParagraphFont"/>
    <w:link w:val="Heading3"/>
    <w:uiPriority w:val="9"/>
    <w:rsid w:val="00BB4740"/>
    <w:rPr>
      <w:rFonts w:asciiTheme="majorHAnsi" w:eastAsiaTheme="majorEastAsia" w:hAnsiTheme="majorHAnsi" w:cstheme="majorBidi"/>
      <w:color w:val="833C0B" w:themeColor="accent2" w:themeShade="80"/>
      <w:sz w:val="16"/>
      <w:szCs w:val="24"/>
    </w:rPr>
  </w:style>
  <w:style w:type="table" w:styleId="TableGrid">
    <w:name w:val="Table Grid"/>
    <w:basedOn w:val="TableNormal"/>
    <w:uiPriority w:val="39"/>
    <w:rsid w:val="00B51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E5601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361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B89"/>
  </w:style>
  <w:style w:type="paragraph" w:styleId="Footer">
    <w:name w:val="footer"/>
    <w:basedOn w:val="Normal"/>
    <w:link w:val="FooterChar"/>
    <w:uiPriority w:val="99"/>
    <w:unhideWhenUsed/>
    <w:rsid w:val="00361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B89"/>
  </w:style>
  <w:style w:type="paragraph" w:styleId="TOCHeading">
    <w:name w:val="TOC Heading"/>
    <w:basedOn w:val="Heading1"/>
    <w:next w:val="Normal"/>
    <w:uiPriority w:val="39"/>
    <w:unhideWhenUsed/>
    <w:qFormat/>
    <w:rsid w:val="00361B89"/>
    <w:pPr>
      <w:outlineLvl w:val="9"/>
    </w:pPr>
    <w:rPr>
      <w:lang w:val="en-US"/>
    </w:rPr>
  </w:style>
  <w:style w:type="paragraph" w:styleId="TOC1">
    <w:name w:val="toc 1"/>
    <w:basedOn w:val="Normal"/>
    <w:next w:val="Normal"/>
    <w:autoRedefine/>
    <w:uiPriority w:val="39"/>
    <w:unhideWhenUsed/>
    <w:rsid w:val="00361B89"/>
    <w:pPr>
      <w:spacing w:after="100"/>
    </w:pPr>
  </w:style>
  <w:style w:type="paragraph" w:styleId="TOC2">
    <w:name w:val="toc 2"/>
    <w:basedOn w:val="Normal"/>
    <w:next w:val="Normal"/>
    <w:autoRedefine/>
    <w:uiPriority w:val="39"/>
    <w:unhideWhenUsed/>
    <w:rsid w:val="00361B89"/>
    <w:pPr>
      <w:spacing w:after="100"/>
      <w:ind w:left="220"/>
    </w:pPr>
  </w:style>
  <w:style w:type="paragraph" w:styleId="TOC3">
    <w:name w:val="toc 3"/>
    <w:basedOn w:val="Normal"/>
    <w:next w:val="Normal"/>
    <w:autoRedefine/>
    <w:uiPriority w:val="39"/>
    <w:unhideWhenUsed/>
    <w:rsid w:val="00361B89"/>
    <w:pPr>
      <w:spacing w:after="100"/>
      <w:ind w:left="440"/>
    </w:pPr>
  </w:style>
  <w:style w:type="paragraph" w:styleId="Subtitle">
    <w:name w:val="Subtitle"/>
    <w:basedOn w:val="Normal"/>
    <w:next w:val="Normal"/>
    <w:link w:val="SubtitleChar"/>
    <w:uiPriority w:val="11"/>
    <w:qFormat/>
    <w:rsid w:val="00E72D47"/>
    <w:pPr>
      <w:numPr>
        <w:ilvl w:val="1"/>
      </w:numPr>
      <w:jc w:val="center"/>
    </w:pPr>
    <w:rPr>
      <w:rFonts w:eastAsiaTheme="minorEastAsia"/>
      <w:color w:val="C45911" w:themeColor="accent2" w:themeShade="BF"/>
      <w:spacing w:val="15"/>
    </w:rPr>
  </w:style>
  <w:style w:type="character" w:customStyle="1" w:styleId="SubtitleChar">
    <w:name w:val="Subtitle Char"/>
    <w:basedOn w:val="DefaultParagraphFont"/>
    <w:link w:val="Subtitle"/>
    <w:uiPriority w:val="11"/>
    <w:rsid w:val="00E72D47"/>
    <w:rPr>
      <w:rFonts w:eastAsiaTheme="minorEastAsia"/>
      <w:color w:val="C45911" w:themeColor="accent2" w:themeShade="BF"/>
      <w:spacing w:val="15"/>
    </w:rPr>
  </w:style>
  <w:style w:type="character" w:styleId="CommentReference">
    <w:name w:val="annotation reference"/>
    <w:basedOn w:val="DefaultParagraphFont"/>
    <w:uiPriority w:val="99"/>
    <w:semiHidden/>
    <w:unhideWhenUsed/>
    <w:rsid w:val="00B53A2F"/>
    <w:rPr>
      <w:sz w:val="16"/>
      <w:szCs w:val="16"/>
    </w:rPr>
  </w:style>
  <w:style w:type="paragraph" w:styleId="CommentText">
    <w:name w:val="annotation text"/>
    <w:basedOn w:val="Normal"/>
    <w:link w:val="CommentTextChar"/>
    <w:uiPriority w:val="99"/>
    <w:semiHidden/>
    <w:unhideWhenUsed/>
    <w:rsid w:val="00B53A2F"/>
    <w:pPr>
      <w:spacing w:line="240" w:lineRule="auto"/>
    </w:pPr>
    <w:rPr>
      <w:sz w:val="20"/>
      <w:szCs w:val="20"/>
    </w:rPr>
  </w:style>
  <w:style w:type="character" w:customStyle="1" w:styleId="CommentTextChar">
    <w:name w:val="Comment Text Char"/>
    <w:basedOn w:val="DefaultParagraphFont"/>
    <w:link w:val="CommentText"/>
    <w:uiPriority w:val="99"/>
    <w:semiHidden/>
    <w:rsid w:val="00B53A2F"/>
    <w:rPr>
      <w:sz w:val="20"/>
      <w:szCs w:val="20"/>
    </w:rPr>
  </w:style>
  <w:style w:type="paragraph" w:styleId="CommentSubject">
    <w:name w:val="annotation subject"/>
    <w:basedOn w:val="CommentText"/>
    <w:next w:val="CommentText"/>
    <w:link w:val="CommentSubjectChar"/>
    <w:uiPriority w:val="99"/>
    <w:semiHidden/>
    <w:unhideWhenUsed/>
    <w:rsid w:val="00B53A2F"/>
    <w:rPr>
      <w:b/>
      <w:bCs/>
    </w:rPr>
  </w:style>
  <w:style w:type="character" w:customStyle="1" w:styleId="CommentSubjectChar">
    <w:name w:val="Comment Subject Char"/>
    <w:basedOn w:val="CommentTextChar"/>
    <w:link w:val="CommentSubject"/>
    <w:uiPriority w:val="99"/>
    <w:semiHidden/>
    <w:rsid w:val="00B53A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43597">
      <w:bodyDiv w:val="1"/>
      <w:marLeft w:val="0"/>
      <w:marRight w:val="0"/>
      <w:marTop w:val="0"/>
      <w:marBottom w:val="0"/>
      <w:divBdr>
        <w:top w:val="none" w:sz="0" w:space="0" w:color="auto"/>
        <w:left w:val="none" w:sz="0" w:space="0" w:color="auto"/>
        <w:bottom w:val="none" w:sz="0" w:space="0" w:color="auto"/>
        <w:right w:val="none" w:sz="0" w:space="0" w:color="auto"/>
      </w:divBdr>
    </w:div>
    <w:div w:id="385448720">
      <w:bodyDiv w:val="1"/>
      <w:marLeft w:val="0"/>
      <w:marRight w:val="0"/>
      <w:marTop w:val="0"/>
      <w:marBottom w:val="0"/>
      <w:divBdr>
        <w:top w:val="none" w:sz="0" w:space="0" w:color="auto"/>
        <w:left w:val="none" w:sz="0" w:space="0" w:color="auto"/>
        <w:bottom w:val="none" w:sz="0" w:space="0" w:color="auto"/>
        <w:right w:val="none" w:sz="0" w:space="0" w:color="auto"/>
      </w:divBdr>
    </w:div>
    <w:div w:id="558446296">
      <w:bodyDiv w:val="1"/>
      <w:marLeft w:val="0"/>
      <w:marRight w:val="0"/>
      <w:marTop w:val="0"/>
      <w:marBottom w:val="0"/>
      <w:divBdr>
        <w:top w:val="none" w:sz="0" w:space="0" w:color="auto"/>
        <w:left w:val="none" w:sz="0" w:space="0" w:color="auto"/>
        <w:bottom w:val="none" w:sz="0" w:space="0" w:color="auto"/>
        <w:right w:val="none" w:sz="0" w:space="0" w:color="auto"/>
      </w:divBdr>
    </w:div>
    <w:div w:id="631179130">
      <w:bodyDiv w:val="1"/>
      <w:marLeft w:val="0"/>
      <w:marRight w:val="0"/>
      <w:marTop w:val="0"/>
      <w:marBottom w:val="0"/>
      <w:divBdr>
        <w:top w:val="none" w:sz="0" w:space="0" w:color="auto"/>
        <w:left w:val="none" w:sz="0" w:space="0" w:color="auto"/>
        <w:bottom w:val="none" w:sz="0" w:space="0" w:color="auto"/>
        <w:right w:val="none" w:sz="0" w:space="0" w:color="auto"/>
      </w:divBdr>
    </w:div>
    <w:div w:id="730154663">
      <w:bodyDiv w:val="1"/>
      <w:marLeft w:val="0"/>
      <w:marRight w:val="0"/>
      <w:marTop w:val="0"/>
      <w:marBottom w:val="0"/>
      <w:divBdr>
        <w:top w:val="none" w:sz="0" w:space="0" w:color="auto"/>
        <w:left w:val="none" w:sz="0" w:space="0" w:color="auto"/>
        <w:bottom w:val="none" w:sz="0" w:space="0" w:color="auto"/>
        <w:right w:val="none" w:sz="0" w:space="0" w:color="auto"/>
      </w:divBdr>
    </w:div>
    <w:div w:id="213032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3.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image" Target="media/image5.png"/><Relationship Id="rId33" Type="http://schemas.openxmlformats.org/officeDocument/2006/relationships/chart" Target="charts/chart19.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0.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17.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png"/><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Medical%20school\APEP\Lists\WORKING%20LIST%20Patients%20(version%201).xls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AppData\Roaming\Microsoft\Excel\WORKING%20LIST%20Patients%20(version%201).xlsb"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AppData\Roaming\Microsoft\Excel\WORKING%20LIST%20Patients%20(version%201).xlsb"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AppData\Roaming\Microsoft\Excel\WORKING%20LIST%20Patients%20(version%201).xlsb"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AppData\Roaming\Microsoft\Excel\WORKING%20LIST%20Patients%20(version%201).xlsb"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y%20Drive\Medical%20school\APEP\Lists\WORKING%20LIST%20Patients%20(version%201).xls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y%20Drive\Medical%20school\APEP\Lists\WORKING%20LIST%20Patients%20(version%201).xls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y%20Drive\Medical%20school\APEP\Lists\WORKING%20LIST%20Patients%20(version%201).xls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y%20Drive\Medical%20school\APEP\Lists\WORKING%20LIST%20Patients%20(version%201).xls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My%20Drive\Medical%20school\APEP\Lists\WORKING%20LIST%20Patien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Patients</a:t>
            </a:r>
            <a:r>
              <a:rPr lang="en-IE" baseline="0"/>
              <a:t> requiring further speech surgery by percentage</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F65D-4344-88B6-9AEC39CAC09A}"/>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F65D-4344-88B6-9AEC39CAC09A}"/>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'Kids by DOB'!$AR$109:$AR$110</c:f>
              <c:strCache>
                <c:ptCount val="2"/>
                <c:pt idx="0">
                  <c:v>No further surgery required</c:v>
                </c:pt>
                <c:pt idx="1">
                  <c:v>Required further surgery</c:v>
                </c:pt>
              </c:strCache>
            </c:strRef>
          </c:cat>
          <c:val>
            <c:numRef>
              <c:f>'Kids by DOB'!$AS$109:$AS$110</c:f>
              <c:numCache>
                <c:formatCode>General</c:formatCode>
                <c:ptCount val="2"/>
                <c:pt idx="0">
                  <c:v>82.35294117647058</c:v>
                </c:pt>
                <c:pt idx="1">
                  <c:v>17.647058823529413</c:v>
                </c:pt>
              </c:numCache>
            </c:numRef>
          </c:val>
          <c:extLst>
            <c:ext xmlns:c16="http://schemas.microsoft.com/office/drawing/2014/chart" uri="{C3380CC4-5D6E-409C-BE32-E72D297353CC}">
              <c16:uniqueId val="{00000004-F65D-4344-88B6-9AEC39CAC09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'Hypernasality -vs- further surg'!$D$2</c:f>
              <c:strCache>
                <c:ptCount val="1"/>
                <c:pt idx="0">
                  <c:v>Preop Hypernasality</c:v>
                </c:pt>
              </c:strCache>
            </c:strRef>
          </c:tx>
          <c:spPr>
            <a:solidFill>
              <a:schemeClr val="accent1"/>
            </a:solidFill>
            <a:ln>
              <a:noFill/>
            </a:ln>
            <a:effectLst/>
          </c:spPr>
          <c:invertIfNegative val="0"/>
          <c:cat>
            <c:strRef>
              <c:f>'Hypernasality -vs- further surg'!$C$3:$C$7</c:f>
              <c:strCache>
                <c:ptCount val="5"/>
                <c:pt idx="0">
                  <c:v>Score 0</c:v>
                </c:pt>
                <c:pt idx="1">
                  <c:v>Score 0-1</c:v>
                </c:pt>
                <c:pt idx="2">
                  <c:v>Score 1</c:v>
                </c:pt>
                <c:pt idx="3">
                  <c:v>Score 2</c:v>
                </c:pt>
                <c:pt idx="4">
                  <c:v>Score 3</c:v>
                </c:pt>
              </c:strCache>
            </c:strRef>
          </c:cat>
          <c:val>
            <c:numRef>
              <c:f>'Hypernasality -vs- further surg'!$D$3:$D$7</c:f>
              <c:numCache>
                <c:formatCode>General</c:formatCode>
                <c:ptCount val="5"/>
                <c:pt idx="0">
                  <c:v>9</c:v>
                </c:pt>
                <c:pt idx="1">
                  <c:v>14</c:v>
                </c:pt>
                <c:pt idx="2">
                  <c:v>14</c:v>
                </c:pt>
                <c:pt idx="3">
                  <c:v>34</c:v>
                </c:pt>
                <c:pt idx="4">
                  <c:v>25</c:v>
                </c:pt>
              </c:numCache>
            </c:numRef>
          </c:val>
          <c:extLst>
            <c:ext xmlns:c16="http://schemas.microsoft.com/office/drawing/2014/chart" uri="{C3380CC4-5D6E-409C-BE32-E72D297353CC}">
              <c16:uniqueId val="{00000000-F28E-475F-BCB6-F51EC3F1AF1C}"/>
            </c:ext>
          </c:extLst>
        </c:ser>
        <c:ser>
          <c:idx val="1"/>
          <c:order val="1"/>
          <c:tx>
            <c:strRef>
              <c:f>'Hypernasality -vs- further surg'!$E$2</c:f>
              <c:strCache>
                <c:ptCount val="1"/>
                <c:pt idx="0">
                  <c:v>Number requiring further surgery</c:v>
                </c:pt>
              </c:strCache>
            </c:strRef>
          </c:tx>
          <c:spPr>
            <a:solidFill>
              <a:schemeClr val="accent2"/>
            </a:solidFill>
            <a:ln>
              <a:noFill/>
            </a:ln>
            <a:effectLst/>
          </c:spPr>
          <c:invertIfNegative val="0"/>
          <c:cat>
            <c:strRef>
              <c:f>'Hypernasality -vs- further surg'!$C$3:$C$7</c:f>
              <c:strCache>
                <c:ptCount val="5"/>
                <c:pt idx="0">
                  <c:v>Score 0</c:v>
                </c:pt>
                <c:pt idx="1">
                  <c:v>Score 0-1</c:v>
                </c:pt>
                <c:pt idx="2">
                  <c:v>Score 1</c:v>
                </c:pt>
                <c:pt idx="3">
                  <c:v>Score 2</c:v>
                </c:pt>
                <c:pt idx="4">
                  <c:v>Score 3</c:v>
                </c:pt>
              </c:strCache>
            </c:strRef>
          </c:cat>
          <c:val>
            <c:numRef>
              <c:f>'Hypernasality -vs- further surg'!$E$3:$E$7</c:f>
              <c:numCache>
                <c:formatCode>General</c:formatCode>
                <c:ptCount val="5"/>
                <c:pt idx="0">
                  <c:v>0</c:v>
                </c:pt>
                <c:pt idx="1">
                  <c:v>1</c:v>
                </c:pt>
                <c:pt idx="2">
                  <c:v>2</c:v>
                </c:pt>
                <c:pt idx="3">
                  <c:v>6</c:v>
                </c:pt>
                <c:pt idx="4">
                  <c:v>8</c:v>
                </c:pt>
              </c:numCache>
            </c:numRef>
          </c:val>
          <c:extLst>
            <c:ext xmlns:c16="http://schemas.microsoft.com/office/drawing/2014/chart" uri="{C3380CC4-5D6E-409C-BE32-E72D297353CC}">
              <c16:uniqueId val="{00000001-F28E-475F-BCB6-F51EC3F1AF1C}"/>
            </c:ext>
          </c:extLst>
        </c:ser>
        <c:dLbls>
          <c:showLegendKey val="0"/>
          <c:showVal val="0"/>
          <c:showCatName val="0"/>
          <c:showSerName val="0"/>
          <c:showPercent val="0"/>
          <c:showBubbleSize val="0"/>
        </c:dLbls>
        <c:gapWidth val="182"/>
        <c:axId val="592270888"/>
        <c:axId val="628594424"/>
      </c:barChart>
      <c:catAx>
        <c:axId val="592270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594424"/>
        <c:crosses val="autoZero"/>
        <c:auto val="1"/>
        <c:lblAlgn val="ctr"/>
        <c:lblOffset val="100"/>
        <c:noMultiLvlLbl val="0"/>
      </c:catAx>
      <c:valAx>
        <c:axId val="628594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27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60DC-4092-A751-B958AF5C266A}"/>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60DC-4092-A751-B958AF5C266A}"/>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60DC-4092-A751-B958AF5C266A}"/>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60DC-4092-A751-B958AF5C266A}"/>
              </c:ext>
            </c:extLst>
          </c:dPt>
          <c:dPt>
            <c:idx val="4"/>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9-60DC-4092-A751-B958AF5C266A}"/>
              </c:ext>
            </c:extLst>
          </c:dPt>
          <c:dLbls>
            <c:dLbl>
              <c:idx val="3"/>
              <c:delete val="1"/>
              <c:extLst>
                <c:ext xmlns:c15="http://schemas.microsoft.com/office/drawing/2012/chart" uri="{CE6537A1-D6FC-4f65-9D91-7224C49458BB}"/>
                <c:ext xmlns:c16="http://schemas.microsoft.com/office/drawing/2014/chart" uri="{C3380CC4-5D6E-409C-BE32-E72D297353CC}">
                  <c16:uniqueId val="{00000007-60DC-4092-A751-B958AF5C266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'Nasal emission changes'!$K$3:$K$7</c:f>
              <c:strCache>
                <c:ptCount val="5"/>
                <c:pt idx="0">
                  <c:v>Score 0</c:v>
                </c:pt>
                <c:pt idx="1">
                  <c:v>Score 1</c:v>
                </c:pt>
                <c:pt idx="2">
                  <c:v>Score 2</c:v>
                </c:pt>
                <c:pt idx="3">
                  <c:v>Score 3</c:v>
                </c:pt>
                <c:pt idx="4">
                  <c:v>No score recorded</c:v>
                </c:pt>
              </c:strCache>
            </c:strRef>
          </c:cat>
          <c:val>
            <c:numRef>
              <c:f>'Nasal emission changes'!$L$3:$L$7</c:f>
              <c:numCache>
                <c:formatCode>General</c:formatCode>
                <c:ptCount val="5"/>
                <c:pt idx="0">
                  <c:v>73.958333333333343</c:v>
                </c:pt>
                <c:pt idx="1">
                  <c:v>21.875</c:v>
                </c:pt>
                <c:pt idx="2">
                  <c:v>3.125</c:v>
                </c:pt>
                <c:pt idx="3">
                  <c:v>0</c:v>
                </c:pt>
                <c:pt idx="4">
                  <c:v>1.0416666666666665</c:v>
                </c:pt>
              </c:numCache>
            </c:numRef>
          </c:val>
          <c:extLst>
            <c:ext xmlns:c16="http://schemas.microsoft.com/office/drawing/2014/chart" uri="{C3380CC4-5D6E-409C-BE32-E72D297353CC}">
              <c16:uniqueId val="{0000000A-60DC-4092-A751-B958AF5C266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1EE9-4B86-AA0E-C1285C4D9730}"/>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1EE9-4B86-AA0E-C1285C4D9730}"/>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1EE9-4B86-AA0E-C1285C4D9730}"/>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1EE9-4B86-AA0E-C1285C4D9730}"/>
              </c:ext>
            </c:extLst>
          </c:dPt>
          <c:dPt>
            <c:idx val="4"/>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9-1EE9-4B86-AA0E-C1285C4D9730}"/>
              </c:ext>
            </c:extLst>
          </c:dPt>
          <c:dLbls>
            <c:dLbl>
              <c:idx val="3"/>
              <c:delete val="1"/>
              <c:extLst>
                <c:ext xmlns:c15="http://schemas.microsoft.com/office/drawing/2012/chart" uri="{CE6537A1-D6FC-4f65-9D91-7224C49458BB}"/>
                <c:ext xmlns:c16="http://schemas.microsoft.com/office/drawing/2014/chart" uri="{C3380CC4-5D6E-409C-BE32-E72D297353CC}">
                  <c16:uniqueId val="{00000007-1EE9-4B86-AA0E-C1285C4D973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'Nasal emission changes'!$H$3:$H$7</c:f>
              <c:strCache>
                <c:ptCount val="5"/>
                <c:pt idx="0">
                  <c:v>Score 0</c:v>
                </c:pt>
                <c:pt idx="1">
                  <c:v>Score 1</c:v>
                </c:pt>
                <c:pt idx="2">
                  <c:v>Score 2</c:v>
                </c:pt>
                <c:pt idx="3">
                  <c:v>Score 3</c:v>
                </c:pt>
                <c:pt idx="4">
                  <c:v>No score recorded</c:v>
                </c:pt>
              </c:strCache>
            </c:strRef>
          </c:cat>
          <c:val>
            <c:numRef>
              <c:f>'Nasal emission changes'!$I$3:$I$7</c:f>
              <c:numCache>
                <c:formatCode>General</c:formatCode>
                <c:ptCount val="5"/>
                <c:pt idx="0">
                  <c:v>32.291666666666671</c:v>
                </c:pt>
                <c:pt idx="1">
                  <c:v>44.791666666666671</c:v>
                </c:pt>
                <c:pt idx="2">
                  <c:v>16.666666666666664</c:v>
                </c:pt>
                <c:pt idx="3">
                  <c:v>0</c:v>
                </c:pt>
                <c:pt idx="4">
                  <c:v>5.2083333333333339</c:v>
                </c:pt>
              </c:numCache>
            </c:numRef>
          </c:val>
          <c:extLst>
            <c:ext xmlns:c16="http://schemas.microsoft.com/office/drawing/2014/chart" uri="{C3380CC4-5D6E-409C-BE32-E72D297353CC}">
              <c16:uniqueId val="{0000000A-1EE9-4B86-AA0E-C1285C4D973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B860-445F-B473-7E03DEBEB0D3}"/>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B860-445F-B473-7E03DEBEB0D3}"/>
              </c:ext>
            </c:extLst>
          </c:dPt>
          <c:dPt>
            <c:idx val="2"/>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5-B860-445F-B473-7E03DEBEB0D3}"/>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Fistula!$M$87:$M$89</c:f>
              <c:strCache>
                <c:ptCount val="3"/>
                <c:pt idx="0">
                  <c:v>Fistula</c:v>
                </c:pt>
                <c:pt idx="1">
                  <c:v>No fistula</c:v>
                </c:pt>
                <c:pt idx="2">
                  <c:v>Not recorded</c:v>
                </c:pt>
              </c:strCache>
            </c:strRef>
          </c:cat>
          <c:val>
            <c:numRef>
              <c:f>Fistula!$N$87:$N$89</c:f>
              <c:numCache>
                <c:formatCode>General</c:formatCode>
                <c:ptCount val="3"/>
                <c:pt idx="0">
                  <c:v>10.714285714285714</c:v>
                </c:pt>
                <c:pt idx="1">
                  <c:v>77.38095238095238</c:v>
                </c:pt>
                <c:pt idx="2">
                  <c:v>11.904761904761903</c:v>
                </c:pt>
              </c:numCache>
            </c:numRef>
          </c:val>
          <c:extLst>
            <c:ext xmlns:c16="http://schemas.microsoft.com/office/drawing/2014/chart" uri="{C3380CC4-5D6E-409C-BE32-E72D297353CC}">
              <c16:uniqueId val="{00000006-B860-445F-B473-7E03DEBEB0D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31FE-4DD2-BFCC-A504C3C1E405}"/>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31FE-4DD2-BFCC-A504C3C1E405}"/>
              </c:ext>
            </c:extLst>
          </c:dPt>
          <c:dPt>
            <c:idx val="2"/>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5-31FE-4DD2-BFCC-A504C3C1E405}"/>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Fistula!$J$87:$J$89</c:f>
              <c:strCache>
                <c:ptCount val="3"/>
                <c:pt idx="0">
                  <c:v>Fistula</c:v>
                </c:pt>
                <c:pt idx="1">
                  <c:v>No fistula</c:v>
                </c:pt>
                <c:pt idx="2">
                  <c:v>Not recorded</c:v>
                </c:pt>
              </c:strCache>
            </c:strRef>
          </c:cat>
          <c:val>
            <c:numRef>
              <c:f>Fistula!$K$87:$K$89</c:f>
              <c:numCache>
                <c:formatCode>General</c:formatCode>
                <c:ptCount val="3"/>
                <c:pt idx="0">
                  <c:v>27.777777777777779</c:v>
                </c:pt>
                <c:pt idx="1">
                  <c:v>66.666666666666657</c:v>
                </c:pt>
                <c:pt idx="2">
                  <c:v>5.5555555555555554</c:v>
                </c:pt>
              </c:numCache>
            </c:numRef>
          </c:val>
          <c:extLst>
            <c:ext xmlns:c16="http://schemas.microsoft.com/office/drawing/2014/chart" uri="{C3380CC4-5D6E-409C-BE32-E72D297353CC}">
              <c16:uniqueId val="{00000006-31FE-4DD2-BFCC-A504C3C1E40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Syndromes!$F$102</c:f>
              <c:strCache>
                <c:ptCount val="1"/>
                <c:pt idx="0">
                  <c:v>Preop hypernasality</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Syndromes!$E$103:$E$107</c:f>
              <c:strCache>
                <c:ptCount val="5"/>
                <c:pt idx="0">
                  <c:v>0</c:v>
                </c:pt>
                <c:pt idx="1">
                  <c:v>1</c:v>
                </c:pt>
                <c:pt idx="2">
                  <c:v>2</c:v>
                </c:pt>
                <c:pt idx="3">
                  <c:v>3</c:v>
                </c:pt>
                <c:pt idx="4">
                  <c:v>Not recorded</c:v>
                </c:pt>
              </c:strCache>
            </c:strRef>
          </c:cat>
          <c:val>
            <c:numRef>
              <c:f>Syndromes!$F$103:$F$107</c:f>
              <c:numCache>
                <c:formatCode>General</c:formatCode>
                <c:ptCount val="5"/>
                <c:pt idx="0">
                  <c:v>0</c:v>
                </c:pt>
                <c:pt idx="1">
                  <c:v>3</c:v>
                </c:pt>
                <c:pt idx="2">
                  <c:v>9</c:v>
                </c:pt>
                <c:pt idx="3">
                  <c:v>4</c:v>
                </c:pt>
                <c:pt idx="4">
                  <c:v>3</c:v>
                </c:pt>
              </c:numCache>
            </c:numRef>
          </c:val>
          <c:extLst>
            <c:ext xmlns:c16="http://schemas.microsoft.com/office/drawing/2014/chart" uri="{C3380CC4-5D6E-409C-BE32-E72D297353CC}">
              <c16:uniqueId val="{00000000-C46A-4980-A98D-F214F2DB8C3E}"/>
            </c:ext>
          </c:extLst>
        </c:ser>
        <c:ser>
          <c:idx val="1"/>
          <c:order val="1"/>
          <c:tx>
            <c:strRef>
              <c:f>Syndromes!$G$102</c:f>
              <c:strCache>
                <c:ptCount val="1"/>
                <c:pt idx="0">
                  <c:v>Postop hypernasality</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Syndromes!$E$103:$E$107</c:f>
              <c:strCache>
                <c:ptCount val="5"/>
                <c:pt idx="0">
                  <c:v>0</c:v>
                </c:pt>
                <c:pt idx="1">
                  <c:v>1</c:v>
                </c:pt>
                <c:pt idx="2">
                  <c:v>2</c:v>
                </c:pt>
                <c:pt idx="3">
                  <c:v>3</c:v>
                </c:pt>
                <c:pt idx="4">
                  <c:v>Not recorded</c:v>
                </c:pt>
              </c:strCache>
            </c:strRef>
          </c:cat>
          <c:val>
            <c:numRef>
              <c:f>Syndromes!$G$103:$G$107</c:f>
              <c:numCache>
                <c:formatCode>General</c:formatCode>
                <c:ptCount val="5"/>
                <c:pt idx="0">
                  <c:v>9</c:v>
                </c:pt>
                <c:pt idx="1">
                  <c:v>5</c:v>
                </c:pt>
                <c:pt idx="2">
                  <c:v>4</c:v>
                </c:pt>
                <c:pt idx="3">
                  <c:v>1</c:v>
                </c:pt>
                <c:pt idx="4">
                  <c:v>1</c:v>
                </c:pt>
              </c:numCache>
            </c:numRef>
          </c:val>
          <c:extLst>
            <c:ext xmlns:c16="http://schemas.microsoft.com/office/drawing/2014/chart" uri="{C3380CC4-5D6E-409C-BE32-E72D297353CC}">
              <c16:uniqueId val="{00000001-C46A-4980-A98D-F214F2DB8C3E}"/>
            </c:ext>
          </c:extLst>
        </c:ser>
        <c:dLbls>
          <c:dLblPos val="outEnd"/>
          <c:showLegendKey val="0"/>
          <c:showVal val="1"/>
          <c:showCatName val="0"/>
          <c:showSerName val="0"/>
          <c:showPercent val="0"/>
          <c:showBubbleSize val="0"/>
        </c:dLbls>
        <c:gapWidth val="219"/>
        <c:overlap val="-27"/>
        <c:axId val="732865224"/>
        <c:axId val="732867192"/>
      </c:barChart>
      <c:catAx>
        <c:axId val="73286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867192"/>
        <c:crosses val="autoZero"/>
        <c:auto val="1"/>
        <c:lblAlgn val="ctr"/>
        <c:lblOffset val="100"/>
        <c:noMultiLvlLbl val="0"/>
      </c:catAx>
      <c:valAx>
        <c:axId val="732867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86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06F9-489D-93D9-C1F72B5216BB}"/>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06F9-489D-93D9-C1F72B5216BB}"/>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06F9-489D-93D9-C1F72B5216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F9-489D-93D9-C1F72B5216BB}"/>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06F9-489D-93D9-C1F72B5216BB}"/>
              </c:ext>
            </c:extLst>
          </c:dPt>
          <c:dLbls>
            <c:delete val="1"/>
          </c:dLbls>
          <c:cat>
            <c:strRef>
              <c:f>'Redo patients'!$D$24:$D$28</c:f>
              <c:strCache>
                <c:ptCount val="5"/>
                <c:pt idx="0">
                  <c:v>Score 0</c:v>
                </c:pt>
                <c:pt idx="1">
                  <c:v>Score 0-1</c:v>
                </c:pt>
                <c:pt idx="2">
                  <c:v>Score 1</c:v>
                </c:pt>
                <c:pt idx="3">
                  <c:v>Score 2</c:v>
                </c:pt>
                <c:pt idx="4">
                  <c:v>Score 3</c:v>
                </c:pt>
              </c:strCache>
            </c:strRef>
          </c:cat>
          <c:val>
            <c:numRef>
              <c:f>'Redo patients'!$E$24:$E$28</c:f>
              <c:numCache>
                <c:formatCode>General</c:formatCode>
                <c:ptCount val="5"/>
                <c:pt idx="0">
                  <c:v>0</c:v>
                </c:pt>
                <c:pt idx="1">
                  <c:v>0</c:v>
                </c:pt>
                <c:pt idx="2">
                  <c:v>4</c:v>
                </c:pt>
                <c:pt idx="3">
                  <c:v>5</c:v>
                </c:pt>
                <c:pt idx="4">
                  <c:v>8</c:v>
                </c:pt>
              </c:numCache>
            </c:numRef>
          </c:val>
          <c:extLst>
            <c:ext xmlns:c16="http://schemas.microsoft.com/office/drawing/2014/chart" uri="{C3380CC4-5D6E-409C-BE32-E72D297353CC}">
              <c16:uniqueId val="{0000000A-06F9-489D-93D9-C1F72B5216B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'Redo patients'!$E$37</c:f>
              <c:strCache>
                <c:ptCount val="1"/>
                <c:pt idx="0">
                  <c:v>Post further surgery</c:v>
                </c:pt>
              </c:strCache>
            </c:strRef>
          </c:tx>
          <c:explosion val="1"/>
          <c:dPt>
            <c:idx val="0"/>
            <c:bubble3D val="0"/>
            <c:spPr>
              <a:solidFill>
                <a:srgbClr val="00B050"/>
              </a:solidFill>
              <a:ln w="19050">
                <a:solidFill>
                  <a:schemeClr val="lt1"/>
                </a:solidFill>
              </a:ln>
              <a:effectLst/>
            </c:spPr>
            <c:extLst>
              <c:ext xmlns:c16="http://schemas.microsoft.com/office/drawing/2014/chart" uri="{C3380CC4-5D6E-409C-BE32-E72D297353CC}">
                <c16:uniqueId val="{00000001-70FA-46A5-A063-52BB1D7123F0}"/>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70FA-46A5-A063-52BB1D7123F0}"/>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70FA-46A5-A063-52BB1D7123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FA-46A5-A063-52BB1D7123F0}"/>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70FA-46A5-A063-52BB1D7123F0}"/>
              </c:ext>
            </c:extLst>
          </c:dPt>
          <c:cat>
            <c:strRef>
              <c:f>'Redo patients'!$D$38:$D$42</c:f>
              <c:strCache>
                <c:ptCount val="5"/>
                <c:pt idx="0">
                  <c:v>Score 0</c:v>
                </c:pt>
                <c:pt idx="1">
                  <c:v>Score 0-1</c:v>
                </c:pt>
                <c:pt idx="2">
                  <c:v>Score 1</c:v>
                </c:pt>
                <c:pt idx="3">
                  <c:v>Score 2</c:v>
                </c:pt>
                <c:pt idx="4">
                  <c:v>Score 3</c:v>
                </c:pt>
              </c:strCache>
            </c:strRef>
          </c:cat>
          <c:val>
            <c:numRef>
              <c:f>'Redo patients'!$E$38:$E$42</c:f>
              <c:numCache>
                <c:formatCode>General</c:formatCode>
                <c:ptCount val="5"/>
                <c:pt idx="0">
                  <c:v>9</c:v>
                </c:pt>
                <c:pt idx="1">
                  <c:v>0</c:v>
                </c:pt>
                <c:pt idx="2">
                  <c:v>5</c:v>
                </c:pt>
                <c:pt idx="3">
                  <c:v>2</c:v>
                </c:pt>
                <c:pt idx="4">
                  <c:v>0</c:v>
                </c:pt>
              </c:numCache>
            </c:numRef>
          </c:val>
          <c:extLst>
            <c:ext xmlns:c16="http://schemas.microsoft.com/office/drawing/2014/chart" uri="{C3380CC4-5D6E-409C-BE32-E72D297353CC}">
              <c16:uniqueId val="{0000000A-70FA-46A5-A063-52BB1D7123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'Redo patients'!$E$30</c:f>
              <c:strCache>
                <c:ptCount val="1"/>
                <c:pt idx="0">
                  <c:v>Post-palate repair</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2069-4AC9-B106-E826D9E40FFA}"/>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2069-4AC9-B106-E826D9E40FF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2069-4AC9-B106-E826D9E40F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69-4AC9-B106-E826D9E40FFA}"/>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2069-4AC9-B106-E826D9E40FFA}"/>
              </c:ext>
            </c:extLst>
          </c:dPt>
          <c:cat>
            <c:strRef>
              <c:f>'Redo patients'!$D$31:$D$35</c:f>
              <c:strCache>
                <c:ptCount val="5"/>
                <c:pt idx="0">
                  <c:v>Score 0</c:v>
                </c:pt>
                <c:pt idx="1">
                  <c:v>Score 0-1</c:v>
                </c:pt>
                <c:pt idx="2">
                  <c:v>Score 1</c:v>
                </c:pt>
                <c:pt idx="3">
                  <c:v>Score 2</c:v>
                </c:pt>
                <c:pt idx="4">
                  <c:v>Score 3</c:v>
                </c:pt>
              </c:strCache>
            </c:strRef>
          </c:cat>
          <c:val>
            <c:numRef>
              <c:f>'Redo patients'!$E$31:$E$35</c:f>
              <c:numCache>
                <c:formatCode>General</c:formatCode>
                <c:ptCount val="5"/>
                <c:pt idx="0">
                  <c:v>5</c:v>
                </c:pt>
                <c:pt idx="1">
                  <c:v>0</c:v>
                </c:pt>
                <c:pt idx="2">
                  <c:v>1</c:v>
                </c:pt>
                <c:pt idx="3">
                  <c:v>6</c:v>
                </c:pt>
                <c:pt idx="4">
                  <c:v>6</c:v>
                </c:pt>
              </c:numCache>
            </c:numRef>
          </c:val>
          <c:extLst>
            <c:ext xmlns:c16="http://schemas.microsoft.com/office/drawing/2014/chart" uri="{C3380CC4-5D6E-409C-BE32-E72D297353CC}">
              <c16:uniqueId val="{0000000A-2069-4AC9-B106-E826D9E40F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'Redo patients'!$Y$24</c:f>
              <c:strCache>
                <c:ptCount val="1"/>
                <c:pt idx="0">
                  <c:v>No further surgery</c:v>
                </c:pt>
              </c:strCache>
            </c:strRef>
          </c:tx>
          <c:spPr>
            <a:solidFill>
              <a:schemeClr val="accent2">
                <a:shade val="76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 patients'!$X$25:$X$26</c:f>
              <c:strCache>
                <c:ptCount val="2"/>
                <c:pt idx="0">
                  <c:v>% Fistula</c:v>
                </c:pt>
                <c:pt idx="1">
                  <c:v>% no fistula</c:v>
                </c:pt>
              </c:strCache>
            </c:strRef>
          </c:cat>
          <c:val>
            <c:numRef>
              <c:f>'Redo patients'!$Y$25:$Y$26</c:f>
              <c:numCache>
                <c:formatCode>General</c:formatCode>
                <c:ptCount val="2"/>
                <c:pt idx="0">
                  <c:v>13.157894736842104</c:v>
                </c:pt>
                <c:pt idx="1">
                  <c:v>88.157894736842096</c:v>
                </c:pt>
              </c:numCache>
            </c:numRef>
          </c:val>
          <c:extLst>
            <c:ext xmlns:c16="http://schemas.microsoft.com/office/drawing/2014/chart" uri="{C3380CC4-5D6E-409C-BE32-E72D297353CC}">
              <c16:uniqueId val="{00000000-8130-479E-BC0C-AEC20319BA3B}"/>
            </c:ext>
          </c:extLst>
        </c:ser>
        <c:ser>
          <c:idx val="1"/>
          <c:order val="1"/>
          <c:tx>
            <c:strRef>
              <c:f>'Redo patients'!$Z$24</c:f>
              <c:strCache>
                <c:ptCount val="1"/>
                <c:pt idx="0">
                  <c:v>Further surgery</c:v>
                </c:pt>
              </c:strCache>
            </c:strRef>
          </c:tx>
          <c:spPr>
            <a:solidFill>
              <a:schemeClr val="accent2">
                <a:tint val="77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 patients'!$X$25:$X$26</c:f>
              <c:strCache>
                <c:ptCount val="2"/>
                <c:pt idx="0">
                  <c:v>% Fistula</c:v>
                </c:pt>
                <c:pt idx="1">
                  <c:v>% no fistula</c:v>
                </c:pt>
              </c:strCache>
            </c:strRef>
          </c:cat>
          <c:val>
            <c:numRef>
              <c:f>'Redo patients'!$Z$25:$Z$26</c:f>
              <c:numCache>
                <c:formatCode>General</c:formatCode>
                <c:ptCount val="2"/>
                <c:pt idx="0">
                  <c:v>27.777777777777779</c:v>
                </c:pt>
                <c:pt idx="1">
                  <c:v>72.222222222222214</c:v>
                </c:pt>
              </c:numCache>
            </c:numRef>
          </c:val>
          <c:extLst>
            <c:ext xmlns:c16="http://schemas.microsoft.com/office/drawing/2014/chart" uri="{C3380CC4-5D6E-409C-BE32-E72D297353CC}">
              <c16:uniqueId val="{00000001-8130-479E-BC0C-AEC20319BA3B}"/>
            </c:ext>
          </c:extLst>
        </c:ser>
        <c:dLbls>
          <c:dLblPos val="outEnd"/>
          <c:showLegendKey val="0"/>
          <c:showVal val="1"/>
          <c:showCatName val="0"/>
          <c:showSerName val="0"/>
          <c:showPercent val="0"/>
          <c:showBubbleSize val="0"/>
        </c:dLbls>
        <c:gapWidth val="219"/>
        <c:overlap val="-27"/>
        <c:axId val="624836832"/>
        <c:axId val="624833552"/>
      </c:barChart>
      <c:catAx>
        <c:axId val="62483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833552"/>
        <c:crosses val="autoZero"/>
        <c:auto val="1"/>
        <c:lblAlgn val="ctr"/>
        <c:lblOffset val="100"/>
        <c:noMultiLvlLbl val="0"/>
      </c:catAx>
      <c:valAx>
        <c:axId val="62483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83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'Redo patients'!$O$53</c:f>
              <c:strCache>
                <c:ptCount val="1"/>
                <c:pt idx="0">
                  <c:v>Not requiring further surgery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 patients'!$N$54:$N$57</c:f>
              <c:strCache>
                <c:ptCount val="4"/>
                <c:pt idx="0">
                  <c:v>SMCP</c:v>
                </c:pt>
                <c:pt idx="1">
                  <c:v>CP</c:v>
                </c:pt>
                <c:pt idx="2">
                  <c:v>UCLP</c:v>
                </c:pt>
                <c:pt idx="3">
                  <c:v>BCLP</c:v>
                </c:pt>
              </c:strCache>
            </c:strRef>
          </c:cat>
          <c:val>
            <c:numRef>
              <c:f>'Redo patients'!$O$54:$O$57</c:f>
              <c:numCache>
                <c:formatCode>General</c:formatCode>
                <c:ptCount val="4"/>
                <c:pt idx="0">
                  <c:v>7.5</c:v>
                </c:pt>
                <c:pt idx="1">
                  <c:v>56.25</c:v>
                </c:pt>
                <c:pt idx="2">
                  <c:v>27.5</c:v>
                </c:pt>
                <c:pt idx="3">
                  <c:v>8.75</c:v>
                </c:pt>
              </c:numCache>
            </c:numRef>
          </c:val>
          <c:extLst>
            <c:ext xmlns:c16="http://schemas.microsoft.com/office/drawing/2014/chart" uri="{C3380CC4-5D6E-409C-BE32-E72D297353CC}">
              <c16:uniqueId val="{00000000-52B1-4507-BC16-6D17EB38A4DB}"/>
            </c:ext>
          </c:extLst>
        </c:ser>
        <c:ser>
          <c:idx val="1"/>
          <c:order val="1"/>
          <c:tx>
            <c:strRef>
              <c:f>'Redo patients'!$P$53</c:f>
              <c:strCache>
                <c:ptCount val="1"/>
                <c:pt idx="0">
                  <c:v>Requiring further surgery</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'Redo patients'!$N$54:$N$57</c:f>
              <c:strCache>
                <c:ptCount val="4"/>
                <c:pt idx="0">
                  <c:v>SMCP</c:v>
                </c:pt>
                <c:pt idx="1">
                  <c:v>CP</c:v>
                </c:pt>
                <c:pt idx="2">
                  <c:v>UCLP</c:v>
                </c:pt>
                <c:pt idx="3">
                  <c:v>BCLP</c:v>
                </c:pt>
              </c:strCache>
            </c:strRef>
          </c:cat>
          <c:val>
            <c:numRef>
              <c:f>'Redo patients'!$P$54:$P$57</c:f>
              <c:numCache>
                <c:formatCode>General</c:formatCode>
                <c:ptCount val="4"/>
                <c:pt idx="0">
                  <c:v>5.9</c:v>
                </c:pt>
                <c:pt idx="1">
                  <c:v>47.1</c:v>
                </c:pt>
                <c:pt idx="2">
                  <c:v>29.4</c:v>
                </c:pt>
                <c:pt idx="3">
                  <c:v>17.600000000000001</c:v>
                </c:pt>
              </c:numCache>
            </c:numRef>
          </c:val>
          <c:extLst>
            <c:ext xmlns:c16="http://schemas.microsoft.com/office/drawing/2014/chart" uri="{C3380CC4-5D6E-409C-BE32-E72D297353CC}">
              <c16:uniqueId val="{00000001-52B1-4507-BC16-6D17EB38A4DB}"/>
            </c:ext>
          </c:extLst>
        </c:ser>
        <c:dLbls>
          <c:dLblPos val="outEnd"/>
          <c:showLegendKey val="0"/>
          <c:showVal val="1"/>
          <c:showCatName val="0"/>
          <c:showSerName val="0"/>
          <c:showPercent val="0"/>
          <c:showBubbleSize val="0"/>
        </c:dLbls>
        <c:gapWidth val="219"/>
        <c:overlap val="-27"/>
        <c:axId val="428583136"/>
        <c:axId val="428588384"/>
      </c:barChart>
      <c:catAx>
        <c:axId val="42858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88384"/>
        <c:crosses val="autoZero"/>
        <c:auto val="1"/>
        <c:lblAlgn val="ctr"/>
        <c:lblOffset val="100"/>
        <c:noMultiLvlLbl val="0"/>
      </c:catAx>
      <c:valAx>
        <c:axId val="4285883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8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Hyponasality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'Jittered graphs'!$N$122:$N$212</c:f>
              <c:numCache>
                <c:formatCode>General</c:formatCode>
                <c:ptCount val="91"/>
                <c:pt idx="0">
                  <c:v>0.16223783869160571</c:v>
                </c:pt>
                <c:pt idx="1">
                  <c:v>0.17896688584134429</c:v>
                </c:pt>
                <c:pt idx="2">
                  <c:v>0.18653072024626433</c:v>
                </c:pt>
                <c:pt idx="3">
                  <c:v>0.17947850493566186</c:v>
                </c:pt>
                <c:pt idx="4">
                  <c:v>4.184140948379933E-2</c:v>
                </c:pt>
                <c:pt idx="5">
                  <c:v>0.15210185322350164</c:v>
                </c:pt>
                <c:pt idx="6">
                  <c:v>0.13839823919411257</c:v>
                </c:pt>
                <c:pt idx="7">
                  <c:v>8.5254676326520493E-2</c:v>
                </c:pt>
                <c:pt idx="8">
                  <c:v>0.14332504424684184</c:v>
                </c:pt>
                <c:pt idx="9">
                  <c:v>0.10758194401366027</c:v>
                </c:pt>
                <c:pt idx="10">
                  <c:v>0.19758360891623664</c:v>
                </c:pt>
                <c:pt idx="11">
                  <c:v>4.6292379988318814E-3</c:v>
                </c:pt>
                <c:pt idx="12">
                  <c:v>2.1299721241980454E-2</c:v>
                </c:pt>
                <c:pt idx="13">
                  <c:v>3.6625194311502594E-2</c:v>
                </c:pt>
                <c:pt idx="14">
                  <c:v>0.16131025275998356</c:v>
                </c:pt>
                <c:pt idx="15">
                  <c:v>0.19961184551262845</c:v>
                </c:pt>
                <c:pt idx="16">
                  <c:v>8.9514050576123813E-2</c:v>
                </c:pt>
                <c:pt idx="17">
                  <c:v>0.16869514162445437</c:v>
                </c:pt>
                <c:pt idx="18">
                  <c:v>5.4799873213236434E-3</c:v>
                </c:pt>
                <c:pt idx="19">
                  <c:v>3.0715848437862105E-2</c:v>
                </c:pt>
                <c:pt idx="20">
                  <c:v>0.13357319576578069</c:v>
                </c:pt>
                <c:pt idx="21">
                  <c:v>6.392218543167108E-2</c:v>
                </c:pt>
                <c:pt idx="22">
                  <c:v>5.7309223177350613E-2</c:v>
                </c:pt>
                <c:pt idx="23">
                  <c:v>0.10591075179608492</c:v>
                </c:pt>
                <c:pt idx="24">
                  <c:v>3.1897662954932439E-2</c:v>
                </c:pt>
                <c:pt idx="25">
                  <c:v>0.11616957573912419</c:v>
                </c:pt>
                <c:pt idx="26">
                  <c:v>9.6090232264536904E-2</c:v>
                </c:pt>
                <c:pt idx="27">
                  <c:v>4.8015624890554581E-2</c:v>
                </c:pt>
                <c:pt idx="28">
                  <c:v>0.11970759917043348</c:v>
                </c:pt>
                <c:pt idx="29">
                  <c:v>7.8972684803891108E-2</c:v>
                </c:pt>
                <c:pt idx="30">
                  <c:v>0.11747602234344943</c:v>
                </c:pt>
                <c:pt idx="31">
                  <c:v>3.9783210675039871E-2</c:v>
                </c:pt>
                <c:pt idx="32">
                  <c:v>9.7475389036682875E-2</c:v>
                </c:pt>
                <c:pt idx="33">
                  <c:v>5.5449744214927744E-2</c:v>
                </c:pt>
                <c:pt idx="34">
                  <c:v>7.519770432346895E-2</c:v>
                </c:pt>
                <c:pt idx="35">
                  <c:v>0.15692131139054527</c:v>
                </c:pt>
                <c:pt idx="36">
                  <c:v>6.9222553568593623E-2</c:v>
                </c:pt>
                <c:pt idx="37">
                  <c:v>0.13963888431145519</c:v>
                </c:pt>
                <c:pt idx="38">
                  <c:v>0.18556765527606714</c:v>
                </c:pt>
                <c:pt idx="39">
                  <c:v>2.9104096335897413E-2</c:v>
                </c:pt>
                <c:pt idx="40">
                  <c:v>6.8897246516553753E-2</c:v>
                </c:pt>
                <c:pt idx="41">
                  <c:v>0.16765734259144</c:v>
                </c:pt>
                <c:pt idx="42">
                  <c:v>0.10614759619997378</c:v>
                </c:pt>
                <c:pt idx="43">
                  <c:v>1.1807739047486132E-2</c:v>
                </c:pt>
                <c:pt idx="44">
                  <c:v>0.16678231304191457</c:v>
                </c:pt>
                <c:pt idx="45">
                  <c:v>5.0269766934345109E-2</c:v>
                </c:pt>
                <c:pt idx="46">
                  <c:v>1.4109470894796129E-2</c:v>
                </c:pt>
                <c:pt idx="47">
                  <c:v>4.3664771615253818E-2</c:v>
                </c:pt>
                <c:pt idx="48">
                  <c:v>0.18986134692316189</c:v>
                </c:pt>
                <c:pt idx="49">
                  <c:v>0.14397242906275395</c:v>
                </c:pt>
                <c:pt idx="50">
                  <c:v>0.14690524684607847</c:v>
                </c:pt>
                <c:pt idx="51">
                  <c:v>4.5796033680221629E-2</c:v>
                </c:pt>
                <c:pt idx="52">
                  <c:v>0.12634489899859166</c:v>
                </c:pt>
                <c:pt idx="53">
                  <c:v>0.1502349236845581</c:v>
                </c:pt>
                <c:pt idx="54">
                  <c:v>0.1090922860500395</c:v>
                </c:pt>
                <c:pt idx="55">
                  <c:v>3.8826171900485429E-2</c:v>
                </c:pt>
                <c:pt idx="56">
                  <c:v>0.12515646238086464</c:v>
                </c:pt>
                <c:pt idx="57">
                  <c:v>0.11828224245101515</c:v>
                </c:pt>
                <c:pt idx="58">
                  <c:v>0.11264124499641051</c:v>
                </c:pt>
                <c:pt idx="59">
                  <c:v>5.9518990837032831E-3</c:v>
                </c:pt>
                <c:pt idx="60">
                  <c:v>5.5652550557253135E-2</c:v>
                </c:pt>
                <c:pt idx="61">
                  <c:v>0.10586834999041531</c:v>
                </c:pt>
                <c:pt idx="62">
                  <c:v>0.10535224492008176</c:v>
                </c:pt>
                <c:pt idx="63">
                  <c:v>0.10719694531337483</c:v>
                </c:pt>
                <c:pt idx="64">
                  <c:v>0.16908410784360614</c:v>
                </c:pt>
                <c:pt idx="65">
                  <c:v>1.1478539216059437E-2</c:v>
                </c:pt>
                <c:pt idx="66">
                  <c:v>0.13572143557457142</c:v>
                </c:pt>
                <c:pt idx="67">
                  <c:v>0.19606183091770146</c:v>
                </c:pt>
                <c:pt idx="68">
                  <c:v>2.0539518245135627E-2</c:v>
                </c:pt>
                <c:pt idx="69">
                  <c:v>8.6487316821561702E-2</c:v>
                </c:pt>
                <c:pt idx="70">
                  <c:v>0.10967006445170591</c:v>
                </c:pt>
                <c:pt idx="71">
                  <c:v>0.14639032476410851</c:v>
                </c:pt>
                <c:pt idx="72">
                  <c:v>0.18125578355839603</c:v>
                </c:pt>
                <c:pt idx="73">
                  <c:v>0.1829798376145596</c:v>
                </c:pt>
                <c:pt idx="74">
                  <c:v>0.14021948776122387</c:v>
                </c:pt>
                <c:pt idx="75">
                  <c:v>9.8361129915344014E-2</c:v>
                </c:pt>
                <c:pt idx="76">
                  <c:v>0.19015376746272472</c:v>
                </c:pt>
                <c:pt idx="77">
                  <c:v>8.760068507987287E-2</c:v>
                </c:pt>
                <c:pt idx="78">
                  <c:v>0.17289641702772973</c:v>
                </c:pt>
                <c:pt idx="79">
                  <c:v>8.4148603287987706E-2</c:v>
                </c:pt>
                <c:pt idx="80">
                  <c:v>0.13414947444518785</c:v>
                </c:pt>
                <c:pt idx="81">
                  <c:v>0.13080440370171106</c:v>
                </c:pt>
                <c:pt idx="82">
                  <c:v>1.0545616603011232</c:v>
                </c:pt>
                <c:pt idx="83">
                  <c:v>1.0750341039390106</c:v>
                </c:pt>
                <c:pt idx="84">
                  <c:v>1.1294907479722929</c:v>
                </c:pt>
                <c:pt idx="85">
                  <c:v>1.088414940221514</c:v>
                </c:pt>
                <c:pt idx="86">
                  <c:v>1.0927914669058096</c:v>
                </c:pt>
                <c:pt idx="87">
                  <c:v>1.1642035938754351</c:v>
                </c:pt>
                <c:pt idx="88">
                  <c:v>1.1908332854924359</c:v>
                </c:pt>
                <c:pt idx="89">
                  <c:v>1.1208446405756132</c:v>
                </c:pt>
                <c:pt idx="90">
                  <c:v>1.1123315956379867</c:v>
                </c:pt>
              </c:numCache>
            </c:numRef>
          </c:xVal>
          <c:yVal>
            <c:numRef>
              <c:f>'Jittered graphs'!$O$122:$O$212</c:f>
              <c:numCache>
                <c:formatCode>General</c:formatCode>
                <c:ptCount val="91"/>
                <c:pt idx="0">
                  <c:v>0</c:v>
                </c:pt>
                <c:pt idx="1">
                  <c:v>0.1</c:v>
                </c:pt>
                <c:pt idx="2">
                  <c:v>0.11</c:v>
                </c:pt>
                <c:pt idx="3">
                  <c:v>0.12</c:v>
                </c:pt>
                <c:pt idx="4">
                  <c:v>0.13</c:v>
                </c:pt>
                <c:pt idx="5">
                  <c:v>0.14000000000000001</c:v>
                </c:pt>
                <c:pt idx="6">
                  <c:v>0.15</c:v>
                </c:pt>
                <c:pt idx="7">
                  <c:v>0.16</c:v>
                </c:pt>
                <c:pt idx="8">
                  <c:v>0.5</c:v>
                </c:pt>
                <c:pt idx="9">
                  <c:v>0.17</c:v>
                </c:pt>
                <c:pt idx="10">
                  <c:v>0.18</c:v>
                </c:pt>
                <c:pt idx="11">
                  <c:v>0.19</c:v>
                </c:pt>
                <c:pt idx="12">
                  <c:v>1</c:v>
                </c:pt>
                <c:pt idx="13">
                  <c:v>0.2</c:v>
                </c:pt>
                <c:pt idx="14">
                  <c:v>0.21</c:v>
                </c:pt>
                <c:pt idx="15">
                  <c:v>0.22</c:v>
                </c:pt>
                <c:pt idx="16">
                  <c:v>1.1000000000000001</c:v>
                </c:pt>
                <c:pt idx="17">
                  <c:v>0.23</c:v>
                </c:pt>
                <c:pt idx="18">
                  <c:v>0.24</c:v>
                </c:pt>
                <c:pt idx="19">
                  <c:v>0.25</c:v>
                </c:pt>
                <c:pt idx="20">
                  <c:v>0.26</c:v>
                </c:pt>
                <c:pt idx="21">
                  <c:v>0.27</c:v>
                </c:pt>
                <c:pt idx="22">
                  <c:v>0.28000000000000003</c:v>
                </c:pt>
                <c:pt idx="23">
                  <c:v>0.28999999999999998</c:v>
                </c:pt>
                <c:pt idx="24">
                  <c:v>0.3</c:v>
                </c:pt>
                <c:pt idx="25">
                  <c:v>0.111</c:v>
                </c:pt>
                <c:pt idx="26">
                  <c:v>0.112</c:v>
                </c:pt>
                <c:pt idx="27">
                  <c:v>0.113</c:v>
                </c:pt>
                <c:pt idx="28">
                  <c:v>2</c:v>
                </c:pt>
                <c:pt idx="29">
                  <c:v>0.114</c:v>
                </c:pt>
                <c:pt idx="30">
                  <c:v>0.115</c:v>
                </c:pt>
                <c:pt idx="31">
                  <c:v>0.11600000000000001</c:v>
                </c:pt>
                <c:pt idx="32">
                  <c:v>0.11700000000000001</c:v>
                </c:pt>
                <c:pt idx="33">
                  <c:v>0.11799999999999999</c:v>
                </c:pt>
                <c:pt idx="34">
                  <c:v>0.11899999999999999</c:v>
                </c:pt>
                <c:pt idx="35">
                  <c:v>0.21099999999999999</c:v>
                </c:pt>
                <c:pt idx="36">
                  <c:v>0.21199999999999999</c:v>
                </c:pt>
                <c:pt idx="37">
                  <c:v>1.1100000000000001</c:v>
                </c:pt>
                <c:pt idx="38">
                  <c:v>0.21299999999999999</c:v>
                </c:pt>
                <c:pt idx="39">
                  <c:v>0.214</c:v>
                </c:pt>
                <c:pt idx="40">
                  <c:v>0.215</c:v>
                </c:pt>
                <c:pt idx="41">
                  <c:v>0.216</c:v>
                </c:pt>
                <c:pt idx="42">
                  <c:v>0.217</c:v>
                </c:pt>
                <c:pt idx="43">
                  <c:v>0.218</c:v>
                </c:pt>
                <c:pt idx="44">
                  <c:v>0.219</c:v>
                </c:pt>
                <c:pt idx="45">
                  <c:v>0.311</c:v>
                </c:pt>
                <c:pt idx="46">
                  <c:v>0.312</c:v>
                </c:pt>
                <c:pt idx="47">
                  <c:v>0.313</c:v>
                </c:pt>
                <c:pt idx="48">
                  <c:v>0.314</c:v>
                </c:pt>
                <c:pt idx="49">
                  <c:v>1.1200000000000001</c:v>
                </c:pt>
                <c:pt idx="50">
                  <c:v>0.315</c:v>
                </c:pt>
                <c:pt idx="51">
                  <c:v>0.316</c:v>
                </c:pt>
                <c:pt idx="52">
                  <c:v>0.317</c:v>
                </c:pt>
                <c:pt idx="53">
                  <c:v>0.318</c:v>
                </c:pt>
                <c:pt idx="54">
                  <c:v>1.1299999999999999</c:v>
                </c:pt>
                <c:pt idx="55">
                  <c:v>0.31900000000000001</c:v>
                </c:pt>
                <c:pt idx="56">
                  <c:v>0.10100000000000001</c:v>
                </c:pt>
                <c:pt idx="57">
                  <c:v>0.10199999999999999</c:v>
                </c:pt>
                <c:pt idx="58">
                  <c:v>1.1399999999999999</c:v>
                </c:pt>
                <c:pt idx="59">
                  <c:v>0.10299999999999999</c:v>
                </c:pt>
                <c:pt idx="60">
                  <c:v>0.104</c:v>
                </c:pt>
                <c:pt idx="61">
                  <c:v>0.105</c:v>
                </c:pt>
                <c:pt idx="62">
                  <c:v>0.106</c:v>
                </c:pt>
                <c:pt idx="63">
                  <c:v>0.107</c:v>
                </c:pt>
                <c:pt idx="64">
                  <c:v>1.1499999999999999</c:v>
                </c:pt>
                <c:pt idx="65">
                  <c:v>0.108</c:v>
                </c:pt>
                <c:pt idx="66">
                  <c:v>0.109</c:v>
                </c:pt>
                <c:pt idx="67">
                  <c:v>1E-3</c:v>
                </c:pt>
                <c:pt idx="68">
                  <c:v>2E-3</c:v>
                </c:pt>
                <c:pt idx="69">
                  <c:v>3.0000000000000001E-3</c:v>
                </c:pt>
                <c:pt idx="70">
                  <c:v>4.0000000000000001E-3</c:v>
                </c:pt>
                <c:pt idx="71">
                  <c:v>0.51</c:v>
                </c:pt>
                <c:pt idx="72">
                  <c:v>6.0000000000000001E-3</c:v>
                </c:pt>
                <c:pt idx="73">
                  <c:v>7.0000000000000001E-3</c:v>
                </c:pt>
                <c:pt idx="74">
                  <c:v>8.0000000000000002E-3</c:v>
                </c:pt>
                <c:pt idx="75">
                  <c:v>8.9999999999999993E-3</c:v>
                </c:pt>
                <c:pt idx="76">
                  <c:v>8.9999999999999993E-3</c:v>
                </c:pt>
                <c:pt idx="77">
                  <c:v>1.1599999999999999</c:v>
                </c:pt>
                <c:pt idx="78">
                  <c:v>1.17</c:v>
                </c:pt>
                <c:pt idx="79">
                  <c:v>2</c:v>
                </c:pt>
                <c:pt idx="80">
                  <c:v>1.18</c:v>
                </c:pt>
                <c:pt idx="81">
                  <c:v>0</c:v>
                </c:pt>
                <c:pt idx="82">
                  <c:v>0.1</c:v>
                </c:pt>
                <c:pt idx="83">
                  <c:v>0.11</c:v>
                </c:pt>
                <c:pt idx="84">
                  <c:v>0.12</c:v>
                </c:pt>
                <c:pt idx="85">
                  <c:v>0.13</c:v>
                </c:pt>
                <c:pt idx="86">
                  <c:v>1</c:v>
                </c:pt>
                <c:pt idx="87">
                  <c:v>1.1000000000000001</c:v>
                </c:pt>
                <c:pt idx="88">
                  <c:v>0.14000000000000001</c:v>
                </c:pt>
                <c:pt idx="89">
                  <c:v>1.1499999999999999</c:v>
                </c:pt>
                <c:pt idx="90">
                  <c:v>1.2</c:v>
                </c:pt>
              </c:numCache>
            </c:numRef>
          </c:yVal>
          <c:smooth val="0"/>
          <c:extLst>
            <c:ext xmlns:c16="http://schemas.microsoft.com/office/drawing/2014/chart" uri="{C3380CC4-5D6E-409C-BE32-E72D297353CC}">
              <c16:uniqueId val="{00000000-D37F-46F9-A3F8-9EA27EBD93E4}"/>
            </c:ext>
          </c:extLst>
        </c:ser>
        <c:dLbls>
          <c:showLegendKey val="0"/>
          <c:showVal val="0"/>
          <c:showCatName val="0"/>
          <c:showSerName val="0"/>
          <c:showPercent val="0"/>
          <c:showBubbleSize val="0"/>
        </c:dLbls>
        <c:axId val="707478144"/>
        <c:axId val="707479456"/>
      </c:scatterChart>
      <c:valAx>
        <c:axId val="707478144"/>
        <c:scaling>
          <c:orientation val="minMax"/>
          <c:max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Preoperative</a:t>
                </a:r>
                <a:r>
                  <a:rPr lang="en-US" baseline="0"/>
                  <a:t> hyponasality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79456"/>
        <c:crosses val="autoZero"/>
        <c:crossBetween val="midCat"/>
        <c:majorUnit val="1"/>
      </c:valAx>
      <c:valAx>
        <c:axId val="707479456"/>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Postoperative hyponasality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7814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Hypernasality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'Jittered graphs'!$D$121:$D$215</c:f>
              <c:numCache>
                <c:formatCode>General</c:formatCode>
                <c:ptCount val="95"/>
                <c:pt idx="0">
                  <c:v>0.17019771118160334</c:v>
                </c:pt>
                <c:pt idx="1">
                  <c:v>4.2539223012116371E-2</c:v>
                </c:pt>
                <c:pt idx="2">
                  <c:v>0.13170520511937012</c:v>
                </c:pt>
                <c:pt idx="3">
                  <c:v>0.10607599815964946</c:v>
                </c:pt>
                <c:pt idx="4">
                  <c:v>0</c:v>
                </c:pt>
                <c:pt idx="5">
                  <c:v>0.18416850639174584</c:v>
                </c:pt>
                <c:pt idx="6">
                  <c:v>8.8770641654583263E-3</c:v>
                </c:pt>
                <c:pt idx="7">
                  <c:v>0.16035217378536826</c:v>
                </c:pt>
                <c:pt idx="8">
                  <c:v>2.9309425780824717E-2</c:v>
                </c:pt>
                <c:pt idx="9">
                  <c:v>0.53337052313271616</c:v>
                </c:pt>
                <c:pt idx="10">
                  <c:v>0.50202222137166364</c:v>
                </c:pt>
                <c:pt idx="11">
                  <c:v>0.65606200311360008</c:v>
                </c:pt>
                <c:pt idx="12">
                  <c:v>0.62990286905049908</c:v>
                </c:pt>
                <c:pt idx="13">
                  <c:v>0.5210064172763138</c:v>
                </c:pt>
                <c:pt idx="14">
                  <c:v>0.58699578499059568</c:v>
                </c:pt>
                <c:pt idx="15">
                  <c:v>0.52461642163969557</c:v>
                </c:pt>
                <c:pt idx="16">
                  <c:v>0.56319657610650842</c:v>
                </c:pt>
                <c:pt idx="17">
                  <c:v>0.60903866854330302</c:v>
                </c:pt>
                <c:pt idx="18">
                  <c:v>0.5161768129627079</c:v>
                </c:pt>
                <c:pt idx="19">
                  <c:v>0.60923648467796754</c:v>
                </c:pt>
                <c:pt idx="20">
                  <c:v>0.55064261069721876</c:v>
                </c:pt>
                <c:pt idx="21">
                  <c:v>0.58125121278461056</c:v>
                </c:pt>
                <c:pt idx="22">
                  <c:v>0.67934265601360866</c:v>
                </c:pt>
                <c:pt idx="23">
                  <c:v>1.1976711597471636</c:v>
                </c:pt>
                <c:pt idx="24">
                  <c:v>1.1849043364260572</c:v>
                </c:pt>
                <c:pt idx="25">
                  <c:v>1.0064263207529625</c:v>
                </c:pt>
                <c:pt idx="26">
                  <c:v>1.0736147538632048</c:v>
                </c:pt>
                <c:pt idx="27">
                  <c:v>1.158605324604365</c:v>
                </c:pt>
                <c:pt idx="28">
                  <c:v>1.1048006312282324</c:v>
                </c:pt>
                <c:pt idx="29">
                  <c:v>1.1964056884357805</c:v>
                </c:pt>
                <c:pt idx="30">
                  <c:v>1.0523441317673889</c:v>
                </c:pt>
                <c:pt idx="31">
                  <c:v>1.0372319321076653</c:v>
                </c:pt>
                <c:pt idx="32">
                  <c:v>1.1879661407869242</c:v>
                </c:pt>
                <c:pt idx="33">
                  <c:v>1.0694374767406958</c:v>
                </c:pt>
                <c:pt idx="34">
                  <c:v>1.1307768810022427</c:v>
                </c:pt>
                <c:pt idx="35">
                  <c:v>1.1732153954691711</c:v>
                </c:pt>
                <c:pt idx="36">
                  <c:v>1.0973578733867952</c:v>
                </c:pt>
                <c:pt idx="37">
                  <c:v>2.064348253418498</c:v>
                </c:pt>
                <c:pt idx="38">
                  <c:v>2.0122247533534918</c:v>
                </c:pt>
                <c:pt idx="39">
                  <c:v>2.1068256380227699</c:v>
                </c:pt>
                <c:pt idx="40">
                  <c:v>2.1989853371553503</c:v>
                </c:pt>
                <c:pt idx="41">
                  <c:v>2.1180289731498743</c:v>
                </c:pt>
                <c:pt idx="42">
                  <c:v>2.14904107374405</c:v>
                </c:pt>
                <c:pt idx="43">
                  <c:v>2.161503195475091</c:v>
                </c:pt>
                <c:pt idx="44">
                  <c:v>2.0103054979157577</c:v>
                </c:pt>
                <c:pt idx="45">
                  <c:v>2.0361243304942982</c:v>
                </c:pt>
                <c:pt idx="46">
                  <c:v>2.1410698819618186</c:v>
                </c:pt>
                <c:pt idx="47">
                  <c:v>2.0343322019359844</c:v>
                </c:pt>
                <c:pt idx="48">
                  <c:v>2.0385883875585598</c:v>
                </c:pt>
                <c:pt idx="49">
                  <c:v>2.0106356658242013</c:v>
                </c:pt>
                <c:pt idx="50">
                  <c:v>2.0170691649644832</c:v>
                </c:pt>
                <c:pt idx="51">
                  <c:v>2.1989434395478167</c:v>
                </c:pt>
                <c:pt idx="52">
                  <c:v>2.1067600083337683</c:v>
                </c:pt>
                <c:pt idx="53">
                  <c:v>2.0728427994293228</c:v>
                </c:pt>
                <c:pt idx="54">
                  <c:v>2.1196115675690206</c:v>
                </c:pt>
                <c:pt idx="55">
                  <c:v>2.0250472813053082</c:v>
                </c:pt>
                <c:pt idx="56">
                  <c:v>2.0720422434088097</c:v>
                </c:pt>
                <c:pt idx="57">
                  <c:v>2.1424984128134148</c:v>
                </c:pt>
                <c:pt idx="58">
                  <c:v>2.1371739235877589</c:v>
                </c:pt>
                <c:pt idx="59">
                  <c:v>2.1152665551283869</c:v>
                </c:pt>
                <c:pt idx="60">
                  <c:v>2.0195638157136133</c:v>
                </c:pt>
                <c:pt idx="61">
                  <c:v>2.1912284328882334</c:v>
                </c:pt>
                <c:pt idx="62">
                  <c:v>2.1518543494604758</c:v>
                </c:pt>
                <c:pt idx="63">
                  <c:v>2.1367431588442414</c:v>
                </c:pt>
                <c:pt idx="64">
                  <c:v>2.1182203054241935</c:v>
                </c:pt>
                <c:pt idx="65">
                  <c:v>2.0111890147823521</c:v>
                </c:pt>
                <c:pt idx="66">
                  <c:v>2.1538387588889769</c:v>
                </c:pt>
                <c:pt idx="67">
                  <c:v>2.008843601022174</c:v>
                </c:pt>
                <c:pt idx="68">
                  <c:v>2.0432665798490595</c:v>
                </c:pt>
                <c:pt idx="69">
                  <c:v>2.0732348675963146</c:v>
                </c:pt>
                <c:pt idx="70">
                  <c:v>3.0834376766560476</c:v>
                </c:pt>
                <c:pt idx="71">
                  <c:v>3.0463671649326245</c:v>
                </c:pt>
                <c:pt idx="72">
                  <c:v>3.1667055677992941</c:v>
                </c:pt>
                <c:pt idx="73">
                  <c:v>3.1053545355958416</c:v>
                </c:pt>
                <c:pt idx="74">
                  <c:v>3.1547530656842078</c:v>
                </c:pt>
                <c:pt idx="75">
                  <c:v>3.1369975506163725</c:v>
                </c:pt>
                <c:pt idx="76">
                  <c:v>3.0491424584264539</c:v>
                </c:pt>
                <c:pt idx="77">
                  <c:v>3.1144986160141377</c:v>
                </c:pt>
                <c:pt idx="78">
                  <c:v>3.1913039079746692</c:v>
                </c:pt>
                <c:pt idx="79">
                  <c:v>3.0985185834425861</c:v>
                </c:pt>
                <c:pt idx="80">
                  <c:v>3.0456073321049524</c:v>
                </c:pt>
                <c:pt idx="81">
                  <c:v>3.0624816647465916</c:v>
                </c:pt>
                <c:pt idx="82">
                  <c:v>3.0750730418228454</c:v>
                </c:pt>
                <c:pt idx="83">
                  <c:v>3.0159921414199768</c:v>
                </c:pt>
                <c:pt idx="84">
                  <c:v>3.045481390832407</c:v>
                </c:pt>
                <c:pt idx="85">
                  <c:v>3.036844317610182</c:v>
                </c:pt>
                <c:pt idx="86">
                  <c:v>3.1316870386904188</c:v>
                </c:pt>
                <c:pt idx="87">
                  <c:v>3.052536627696623</c:v>
                </c:pt>
                <c:pt idx="88">
                  <c:v>3.0385489727542043</c:v>
                </c:pt>
                <c:pt idx="89">
                  <c:v>3.0804343990343206</c:v>
                </c:pt>
                <c:pt idx="90">
                  <c:v>3.0673046295209359</c:v>
                </c:pt>
                <c:pt idx="91">
                  <c:v>3.1809450900593896</c:v>
                </c:pt>
                <c:pt idx="92">
                  <c:v>3.1047040515540201</c:v>
                </c:pt>
                <c:pt idx="93">
                  <c:v>3.1949371364185541</c:v>
                </c:pt>
                <c:pt idx="94">
                  <c:v>3.1267956130483703</c:v>
                </c:pt>
              </c:numCache>
            </c:numRef>
          </c:xVal>
          <c:yVal>
            <c:numRef>
              <c:f>'Jittered graphs'!$E$121:$E$215</c:f>
              <c:numCache>
                <c:formatCode>General</c:formatCode>
                <c:ptCount val="95"/>
                <c:pt idx="0">
                  <c:v>0</c:v>
                </c:pt>
                <c:pt idx="1">
                  <c:v>0.1</c:v>
                </c:pt>
                <c:pt idx="2">
                  <c:v>0.11</c:v>
                </c:pt>
                <c:pt idx="3">
                  <c:v>0.12</c:v>
                </c:pt>
                <c:pt idx="4">
                  <c:v>0.5</c:v>
                </c:pt>
                <c:pt idx="5">
                  <c:v>0.13</c:v>
                </c:pt>
                <c:pt idx="6">
                  <c:v>0.14000000000000001</c:v>
                </c:pt>
                <c:pt idx="7">
                  <c:v>0.15</c:v>
                </c:pt>
                <c:pt idx="8">
                  <c:v>0.16</c:v>
                </c:pt>
                <c:pt idx="9">
                  <c:v>0.15</c:v>
                </c:pt>
                <c:pt idx="10">
                  <c:v>0.5</c:v>
                </c:pt>
                <c:pt idx="11">
                  <c:v>0.51</c:v>
                </c:pt>
                <c:pt idx="12">
                  <c:v>0</c:v>
                </c:pt>
                <c:pt idx="13">
                  <c:v>0.1</c:v>
                </c:pt>
                <c:pt idx="14">
                  <c:v>0.15</c:v>
                </c:pt>
                <c:pt idx="15">
                  <c:v>0.11</c:v>
                </c:pt>
                <c:pt idx="16">
                  <c:v>0.12</c:v>
                </c:pt>
                <c:pt idx="17">
                  <c:v>0.13</c:v>
                </c:pt>
                <c:pt idx="18">
                  <c:v>0.14000000000000001</c:v>
                </c:pt>
                <c:pt idx="19">
                  <c:v>0.15</c:v>
                </c:pt>
                <c:pt idx="20">
                  <c:v>0.16</c:v>
                </c:pt>
                <c:pt idx="21">
                  <c:v>0.17</c:v>
                </c:pt>
                <c:pt idx="22">
                  <c:v>0.18</c:v>
                </c:pt>
                <c:pt idx="23">
                  <c:v>1</c:v>
                </c:pt>
                <c:pt idx="24">
                  <c:v>0</c:v>
                </c:pt>
                <c:pt idx="25">
                  <c:v>0.5</c:v>
                </c:pt>
                <c:pt idx="26">
                  <c:v>0.51</c:v>
                </c:pt>
                <c:pt idx="27">
                  <c:v>0.1</c:v>
                </c:pt>
                <c:pt idx="28">
                  <c:v>1</c:v>
                </c:pt>
                <c:pt idx="29">
                  <c:v>0.11</c:v>
                </c:pt>
                <c:pt idx="30">
                  <c:v>0.12</c:v>
                </c:pt>
                <c:pt idx="31">
                  <c:v>0.13</c:v>
                </c:pt>
                <c:pt idx="32">
                  <c:v>0.14000000000000001</c:v>
                </c:pt>
                <c:pt idx="33">
                  <c:v>1.1000000000000001</c:v>
                </c:pt>
                <c:pt idx="34">
                  <c:v>0.52</c:v>
                </c:pt>
                <c:pt idx="35">
                  <c:v>0.53</c:v>
                </c:pt>
                <c:pt idx="36">
                  <c:v>0.15</c:v>
                </c:pt>
                <c:pt idx="37">
                  <c:v>2</c:v>
                </c:pt>
                <c:pt idx="38">
                  <c:v>0</c:v>
                </c:pt>
                <c:pt idx="39">
                  <c:v>2.1</c:v>
                </c:pt>
                <c:pt idx="40">
                  <c:v>0.1</c:v>
                </c:pt>
                <c:pt idx="41">
                  <c:v>0.11</c:v>
                </c:pt>
                <c:pt idx="42">
                  <c:v>0.5</c:v>
                </c:pt>
                <c:pt idx="43">
                  <c:v>0.51</c:v>
                </c:pt>
                <c:pt idx="44">
                  <c:v>0.12</c:v>
                </c:pt>
                <c:pt idx="45">
                  <c:v>2.11</c:v>
                </c:pt>
                <c:pt idx="46">
                  <c:v>0.52</c:v>
                </c:pt>
                <c:pt idx="47">
                  <c:v>0.53</c:v>
                </c:pt>
                <c:pt idx="48">
                  <c:v>0.13</c:v>
                </c:pt>
                <c:pt idx="49">
                  <c:v>0.14000000000000001</c:v>
                </c:pt>
                <c:pt idx="50">
                  <c:v>2.12</c:v>
                </c:pt>
                <c:pt idx="51">
                  <c:v>0.15</c:v>
                </c:pt>
                <c:pt idx="52">
                  <c:v>2.13</c:v>
                </c:pt>
                <c:pt idx="53">
                  <c:v>0.16</c:v>
                </c:pt>
                <c:pt idx="54">
                  <c:v>0.17</c:v>
                </c:pt>
                <c:pt idx="55">
                  <c:v>0.18</c:v>
                </c:pt>
                <c:pt idx="56">
                  <c:v>1.1000000000000001</c:v>
                </c:pt>
                <c:pt idx="57">
                  <c:v>0.19</c:v>
                </c:pt>
                <c:pt idx="58">
                  <c:v>0.54</c:v>
                </c:pt>
                <c:pt idx="59">
                  <c:v>0.2</c:v>
                </c:pt>
                <c:pt idx="60">
                  <c:v>0.21</c:v>
                </c:pt>
                <c:pt idx="61">
                  <c:v>0.22</c:v>
                </c:pt>
                <c:pt idx="62">
                  <c:v>0.23</c:v>
                </c:pt>
                <c:pt idx="63">
                  <c:v>0.24</c:v>
                </c:pt>
                <c:pt idx="64">
                  <c:v>0.55000000000000004</c:v>
                </c:pt>
                <c:pt idx="65">
                  <c:v>0.25</c:v>
                </c:pt>
                <c:pt idx="66">
                  <c:v>2.14</c:v>
                </c:pt>
                <c:pt idx="67">
                  <c:v>0.26</c:v>
                </c:pt>
                <c:pt idx="68">
                  <c:v>0.27</c:v>
                </c:pt>
                <c:pt idx="69">
                  <c:v>0.28000000000000003</c:v>
                </c:pt>
                <c:pt idx="70">
                  <c:v>0.5</c:v>
                </c:pt>
                <c:pt idx="71">
                  <c:v>0.51</c:v>
                </c:pt>
                <c:pt idx="72">
                  <c:v>2</c:v>
                </c:pt>
                <c:pt idx="73">
                  <c:v>1</c:v>
                </c:pt>
                <c:pt idx="74">
                  <c:v>0</c:v>
                </c:pt>
                <c:pt idx="75">
                  <c:v>0.1</c:v>
                </c:pt>
                <c:pt idx="76">
                  <c:v>3</c:v>
                </c:pt>
                <c:pt idx="77">
                  <c:v>3.1</c:v>
                </c:pt>
                <c:pt idx="78">
                  <c:v>3.2</c:v>
                </c:pt>
                <c:pt idx="79">
                  <c:v>0.11</c:v>
                </c:pt>
                <c:pt idx="80">
                  <c:v>3.11</c:v>
                </c:pt>
                <c:pt idx="81">
                  <c:v>3.12</c:v>
                </c:pt>
                <c:pt idx="82">
                  <c:v>2.1</c:v>
                </c:pt>
                <c:pt idx="83">
                  <c:v>0.52</c:v>
                </c:pt>
                <c:pt idx="84">
                  <c:v>2.11</c:v>
                </c:pt>
                <c:pt idx="85">
                  <c:v>0.12</c:v>
                </c:pt>
                <c:pt idx="86">
                  <c:v>0.13</c:v>
                </c:pt>
                <c:pt idx="87">
                  <c:v>3.13</c:v>
                </c:pt>
                <c:pt idx="88">
                  <c:v>1.1000000000000001</c:v>
                </c:pt>
                <c:pt idx="89">
                  <c:v>0.14000000000000001</c:v>
                </c:pt>
                <c:pt idx="90">
                  <c:v>0.15</c:v>
                </c:pt>
                <c:pt idx="91">
                  <c:v>0.16</c:v>
                </c:pt>
                <c:pt idx="92">
                  <c:v>0.17</c:v>
                </c:pt>
                <c:pt idx="93">
                  <c:v>1.1100000000000001</c:v>
                </c:pt>
                <c:pt idx="94">
                  <c:v>0.18</c:v>
                </c:pt>
              </c:numCache>
            </c:numRef>
          </c:yVal>
          <c:smooth val="0"/>
          <c:extLst>
            <c:ext xmlns:c16="http://schemas.microsoft.com/office/drawing/2014/chart" uri="{C3380CC4-5D6E-409C-BE32-E72D297353CC}">
              <c16:uniqueId val="{00000000-EFEA-47B4-A7DF-53E1665EA921}"/>
            </c:ext>
          </c:extLst>
        </c:ser>
        <c:dLbls>
          <c:showLegendKey val="0"/>
          <c:showVal val="0"/>
          <c:showCatName val="0"/>
          <c:showSerName val="0"/>
          <c:showPercent val="0"/>
          <c:showBubbleSize val="0"/>
        </c:dLbls>
        <c:axId val="698277144"/>
        <c:axId val="698277472"/>
      </c:scatterChart>
      <c:valAx>
        <c:axId val="698277144"/>
        <c:scaling>
          <c:orientation val="minMax"/>
          <c:max val="3.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Preoperative</a:t>
                </a:r>
                <a:r>
                  <a:rPr lang="en-IE" baseline="0"/>
                  <a:t> hypernasality</a:t>
                </a:r>
                <a:endParaRPr lang="en-I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277472"/>
        <c:crosses val="autoZero"/>
        <c:crossBetween val="midCat"/>
        <c:majorUnit val="1"/>
        <c:minorUnit val="0.5"/>
      </c:valAx>
      <c:valAx>
        <c:axId val="698277472"/>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Postoperative Hypernasaity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277144"/>
        <c:crosses val="autoZero"/>
        <c:crossBetween val="midCat"/>
        <c:majorUnit val="1"/>
        <c:min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Nasal</a:t>
            </a:r>
            <a:r>
              <a:rPr lang="en-IE" baseline="0"/>
              <a:t> Turbulence</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'Jittered graphs'!$Z$122:$Z$210</c:f>
              <c:numCache>
                <c:formatCode>General</c:formatCode>
                <c:ptCount val="89"/>
                <c:pt idx="0">
                  <c:v>0.2082168841410538</c:v>
                </c:pt>
                <c:pt idx="1">
                  <c:v>0.24977385024350607</c:v>
                </c:pt>
                <c:pt idx="2">
                  <c:v>0.14591492784829038</c:v>
                </c:pt>
                <c:pt idx="3">
                  <c:v>4.0147338043076249E-2</c:v>
                </c:pt>
                <c:pt idx="4">
                  <c:v>6.2585843573004216E-2</c:v>
                </c:pt>
                <c:pt idx="5">
                  <c:v>0.19899684474711399</c:v>
                </c:pt>
                <c:pt idx="6">
                  <c:v>0.12418175658757803</c:v>
                </c:pt>
                <c:pt idx="7">
                  <c:v>0.2702415145450402</c:v>
                </c:pt>
                <c:pt idx="8">
                  <c:v>2.4442844794994145E-2</c:v>
                </c:pt>
                <c:pt idx="9">
                  <c:v>0.21252729612816065</c:v>
                </c:pt>
                <c:pt idx="10">
                  <c:v>0.14612536306240509</c:v>
                </c:pt>
                <c:pt idx="11">
                  <c:v>0.14479658437174839</c:v>
                </c:pt>
                <c:pt idx="12">
                  <c:v>9.850671446464522E-2</c:v>
                </c:pt>
                <c:pt idx="13">
                  <c:v>0.25503428970321101</c:v>
                </c:pt>
                <c:pt idx="14">
                  <c:v>0.13500789537423977</c:v>
                </c:pt>
                <c:pt idx="15">
                  <c:v>4.6885005199904572E-2</c:v>
                </c:pt>
                <c:pt idx="16">
                  <c:v>9.0833155117068798E-3</c:v>
                </c:pt>
                <c:pt idx="17">
                  <c:v>4.0807710805165938E-2</c:v>
                </c:pt>
                <c:pt idx="18">
                  <c:v>0.2781760244959936</c:v>
                </c:pt>
                <c:pt idx="19">
                  <c:v>0.29855836051047346</c:v>
                </c:pt>
                <c:pt idx="20">
                  <c:v>0.20569235489865156</c:v>
                </c:pt>
                <c:pt idx="21">
                  <c:v>0.17571659864780739</c:v>
                </c:pt>
                <c:pt idx="22">
                  <c:v>0.16524651341146529</c:v>
                </c:pt>
                <c:pt idx="23">
                  <c:v>0.1609166468044399</c:v>
                </c:pt>
                <c:pt idx="24">
                  <c:v>2.4208963534287541E-2</c:v>
                </c:pt>
                <c:pt idx="25">
                  <c:v>5.3604615775219862E-2</c:v>
                </c:pt>
                <c:pt idx="26">
                  <c:v>0.18780100206675257</c:v>
                </c:pt>
                <c:pt idx="27">
                  <c:v>0.21398455002287381</c:v>
                </c:pt>
                <c:pt idx="28">
                  <c:v>0.22161606889945759</c:v>
                </c:pt>
                <c:pt idx="29">
                  <c:v>6.0883271231735342E-2</c:v>
                </c:pt>
                <c:pt idx="30">
                  <c:v>0.15746053840248805</c:v>
                </c:pt>
                <c:pt idx="31">
                  <c:v>0.19048675775207946</c:v>
                </c:pt>
                <c:pt idx="32">
                  <c:v>0.1677713664083835</c:v>
                </c:pt>
                <c:pt idx="33">
                  <c:v>0.22539243368279663</c:v>
                </c:pt>
                <c:pt idx="34">
                  <c:v>0.25151878388503801</c:v>
                </c:pt>
                <c:pt idx="35">
                  <c:v>0.21588123849649643</c:v>
                </c:pt>
                <c:pt idx="36">
                  <c:v>0.11182890864382673</c:v>
                </c:pt>
                <c:pt idx="37">
                  <c:v>0.28486063415876978</c:v>
                </c:pt>
                <c:pt idx="38">
                  <c:v>0.16703017239411683</c:v>
                </c:pt>
                <c:pt idx="39">
                  <c:v>7.9278909129126399E-2</c:v>
                </c:pt>
                <c:pt idx="40">
                  <c:v>7.1073177803780613E-2</c:v>
                </c:pt>
                <c:pt idx="41">
                  <c:v>7.6036138237691217E-2</c:v>
                </c:pt>
                <c:pt idx="42">
                  <c:v>0.1148469172234568</c:v>
                </c:pt>
                <c:pt idx="43">
                  <c:v>9.7567972412580486E-2</c:v>
                </c:pt>
                <c:pt idx="44">
                  <c:v>0.26357780872705372</c:v>
                </c:pt>
                <c:pt idx="45">
                  <c:v>2.697047415099273E-2</c:v>
                </c:pt>
                <c:pt idx="46">
                  <c:v>1.0678229035854918</c:v>
                </c:pt>
                <c:pt idx="47">
                  <c:v>1.0671758702467291</c:v>
                </c:pt>
                <c:pt idx="48">
                  <c:v>1.1894859985863981</c:v>
                </c:pt>
                <c:pt idx="49">
                  <c:v>1.2938018405172116</c:v>
                </c:pt>
                <c:pt idx="50">
                  <c:v>1.2086595150554786</c:v>
                </c:pt>
                <c:pt idx="51">
                  <c:v>1.0336637145451104</c:v>
                </c:pt>
                <c:pt idx="52">
                  <c:v>1.2710094075070204</c:v>
                </c:pt>
                <c:pt idx="53">
                  <c:v>1.0452189317210807</c:v>
                </c:pt>
                <c:pt idx="54">
                  <c:v>1.2279468452276958</c:v>
                </c:pt>
                <c:pt idx="55">
                  <c:v>1.1039270681668991</c:v>
                </c:pt>
                <c:pt idx="56">
                  <c:v>1.1148289439494821</c:v>
                </c:pt>
                <c:pt idx="57">
                  <c:v>1.2161080740579466</c:v>
                </c:pt>
                <c:pt idx="58">
                  <c:v>1.2540115386337383</c:v>
                </c:pt>
                <c:pt idx="59">
                  <c:v>1.2110006292462601</c:v>
                </c:pt>
                <c:pt idx="60">
                  <c:v>1.1595388121037993</c:v>
                </c:pt>
                <c:pt idx="61">
                  <c:v>1.1981406332502853</c:v>
                </c:pt>
                <c:pt idx="62">
                  <c:v>1.1067107200575572</c:v>
                </c:pt>
                <c:pt idx="63">
                  <c:v>1.0715826380361702</c:v>
                </c:pt>
                <c:pt idx="64">
                  <c:v>1.2083490100228753</c:v>
                </c:pt>
                <c:pt idx="65">
                  <c:v>1.1526706419288737</c:v>
                </c:pt>
                <c:pt idx="66">
                  <c:v>1.2345907892386903</c:v>
                </c:pt>
                <c:pt idx="67">
                  <c:v>1.0688682110855503</c:v>
                </c:pt>
                <c:pt idx="68">
                  <c:v>1.0269698177545314</c:v>
                </c:pt>
                <c:pt idx="69">
                  <c:v>1.0030215787566681</c:v>
                </c:pt>
                <c:pt idx="70">
                  <c:v>1.0568959213468283</c:v>
                </c:pt>
                <c:pt idx="71">
                  <c:v>1.2564078961169143</c:v>
                </c:pt>
                <c:pt idx="72">
                  <c:v>1.0358537095438012</c:v>
                </c:pt>
                <c:pt idx="73">
                  <c:v>1.1042046652410664</c:v>
                </c:pt>
                <c:pt idx="74">
                  <c:v>1.0131425167101649</c:v>
                </c:pt>
                <c:pt idx="75">
                  <c:v>1.2494860434622295</c:v>
                </c:pt>
                <c:pt idx="76">
                  <c:v>1.0901593990833556</c:v>
                </c:pt>
                <c:pt idx="77">
                  <c:v>2.0278372720838087</c:v>
                </c:pt>
                <c:pt idx="78">
                  <c:v>2.2595709068544108</c:v>
                </c:pt>
                <c:pt idx="79">
                  <c:v>2.1279376648656667</c:v>
                </c:pt>
                <c:pt idx="80">
                  <c:v>2.0254301383641127</c:v>
                </c:pt>
                <c:pt idx="81">
                  <c:v>2.0093796011794289</c:v>
                </c:pt>
                <c:pt idx="82">
                  <c:v>2.2228854256838604</c:v>
                </c:pt>
                <c:pt idx="83">
                  <c:v>2.0282684157855333</c:v>
                </c:pt>
                <c:pt idx="84">
                  <c:v>2.1903006286276341</c:v>
                </c:pt>
                <c:pt idx="85">
                  <c:v>2.1826700260418797</c:v>
                </c:pt>
                <c:pt idx="86">
                  <c:v>2.0933132242851178</c:v>
                </c:pt>
                <c:pt idx="87">
                  <c:v>2.2033871376300107</c:v>
                </c:pt>
                <c:pt idx="88">
                  <c:v>2.1179911160230875</c:v>
                </c:pt>
              </c:numCache>
            </c:numRef>
          </c:xVal>
          <c:yVal>
            <c:numRef>
              <c:f>'Jittered graphs'!$AA$122:$AA$210</c:f>
              <c:numCache>
                <c:formatCode>General</c:formatCode>
                <c:ptCount val="89"/>
                <c:pt idx="0">
                  <c:v>1</c:v>
                </c:pt>
                <c:pt idx="1">
                  <c:v>0</c:v>
                </c:pt>
                <c:pt idx="2">
                  <c:v>0.01</c:v>
                </c:pt>
                <c:pt idx="3">
                  <c:v>0.02</c:v>
                </c:pt>
                <c:pt idx="4">
                  <c:v>0.03</c:v>
                </c:pt>
                <c:pt idx="5">
                  <c:v>0.04</c:v>
                </c:pt>
                <c:pt idx="6">
                  <c:v>0.05</c:v>
                </c:pt>
                <c:pt idx="7">
                  <c:v>0.06</c:v>
                </c:pt>
                <c:pt idx="8">
                  <c:v>7.0000000000000007E-2</c:v>
                </c:pt>
                <c:pt idx="9">
                  <c:v>0.08</c:v>
                </c:pt>
                <c:pt idx="10">
                  <c:v>0.09</c:v>
                </c:pt>
                <c:pt idx="11">
                  <c:v>0.1</c:v>
                </c:pt>
                <c:pt idx="12">
                  <c:v>0.11</c:v>
                </c:pt>
                <c:pt idx="13">
                  <c:v>0.12</c:v>
                </c:pt>
                <c:pt idx="14">
                  <c:v>0.13</c:v>
                </c:pt>
                <c:pt idx="15">
                  <c:v>0.14000000000000001</c:v>
                </c:pt>
                <c:pt idx="16">
                  <c:v>0.15</c:v>
                </c:pt>
                <c:pt idx="17">
                  <c:v>0.16</c:v>
                </c:pt>
                <c:pt idx="18">
                  <c:v>0.17</c:v>
                </c:pt>
                <c:pt idx="19">
                  <c:v>0.18</c:v>
                </c:pt>
                <c:pt idx="20">
                  <c:v>0.19</c:v>
                </c:pt>
                <c:pt idx="21">
                  <c:v>0.2</c:v>
                </c:pt>
                <c:pt idx="22">
                  <c:v>0.21</c:v>
                </c:pt>
                <c:pt idx="23">
                  <c:v>1</c:v>
                </c:pt>
                <c:pt idx="24">
                  <c:v>0.22</c:v>
                </c:pt>
                <c:pt idx="25">
                  <c:v>0.23</c:v>
                </c:pt>
                <c:pt idx="26">
                  <c:v>0.24</c:v>
                </c:pt>
                <c:pt idx="27">
                  <c:v>0.25</c:v>
                </c:pt>
                <c:pt idx="28">
                  <c:v>0.26</c:v>
                </c:pt>
                <c:pt idx="29">
                  <c:v>0.27</c:v>
                </c:pt>
                <c:pt idx="30">
                  <c:v>0.28000000000000003</c:v>
                </c:pt>
                <c:pt idx="31">
                  <c:v>0.28999999999999998</c:v>
                </c:pt>
                <c:pt idx="32">
                  <c:v>0.10100000000000001</c:v>
                </c:pt>
                <c:pt idx="33">
                  <c:v>0.10199999999999999</c:v>
                </c:pt>
                <c:pt idx="34">
                  <c:v>1.1000000000000001</c:v>
                </c:pt>
                <c:pt idx="35">
                  <c:v>0.10299999999999999</c:v>
                </c:pt>
                <c:pt idx="36">
                  <c:v>0.104</c:v>
                </c:pt>
                <c:pt idx="37">
                  <c:v>0.105</c:v>
                </c:pt>
                <c:pt idx="38">
                  <c:v>1.1100000000000001</c:v>
                </c:pt>
                <c:pt idx="39">
                  <c:v>0.106</c:v>
                </c:pt>
                <c:pt idx="40">
                  <c:v>1.1200000000000001</c:v>
                </c:pt>
                <c:pt idx="41">
                  <c:v>0.108</c:v>
                </c:pt>
                <c:pt idx="42">
                  <c:v>0.107</c:v>
                </c:pt>
                <c:pt idx="43">
                  <c:v>1.1299999999999999</c:v>
                </c:pt>
                <c:pt idx="44">
                  <c:v>1.1399999999999999</c:v>
                </c:pt>
                <c:pt idx="45">
                  <c:v>0.109</c:v>
                </c:pt>
                <c:pt idx="46">
                  <c:v>0</c:v>
                </c:pt>
                <c:pt idx="47">
                  <c:v>0.01</c:v>
                </c:pt>
                <c:pt idx="48">
                  <c:v>0.02</c:v>
                </c:pt>
                <c:pt idx="49">
                  <c:v>1</c:v>
                </c:pt>
                <c:pt idx="50">
                  <c:v>0.04</c:v>
                </c:pt>
                <c:pt idx="51">
                  <c:v>1.1000000000000001</c:v>
                </c:pt>
                <c:pt idx="52">
                  <c:v>0.05</c:v>
                </c:pt>
                <c:pt idx="53">
                  <c:v>0.06</c:v>
                </c:pt>
                <c:pt idx="54">
                  <c:v>7.0000000000000007E-2</c:v>
                </c:pt>
                <c:pt idx="55">
                  <c:v>0.08</c:v>
                </c:pt>
                <c:pt idx="56">
                  <c:v>0.09</c:v>
                </c:pt>
                <c:pt idx="57">
                  <c:v>1.1200000000000001</c:v>
                </c:pt>
                <c:pt idx="58">
                  <c:v>0.1</c:v>
                </c:pt>
                <c:pt idx="59">
                  <c:v>0.11</c:v>
                </c:pt>
                <c:pt idx="60">
                  <c:v>0.12</c:v>
                </c:pt>
                <c:pt idx="61">
                  <c:v>1.1299999999999999</c:v>
                </c:pt>
                <c:pt idx="62">
                  <c:v>1.1399999999999999</c:v>
                </c:pt>
                <c:pt idx="63">
                  <c:v>0.14000000000000001</c:v>
                </c:pt>
                <c:pt idx="64">
                  <c:v>1.1499999999999999</c:v>
                </c:pt>
                <c:pt idx="65">
                  <c:v>0.13</c:v>
                </c:pt>
                <c:pt idx="66">
                  <c:v>0.15</c:v>
                </c:pt>
                <c:pt idx="67">
                  <c:v>0.16</c:v>
                </c:pt>
                <c:pt idx="68">
                  <c:v>1.1599999999999999</c:v>
                </c:pt>
                <c:pt idx="69">
                  <c:v>1.17</c:v>
                </c:pt>
                <c:pt idx="70">
                  <c:v>0.17</c:v>
                </c:pt>
                <c:pt idx="71">
                  <c:v>1.18</c:v>
                </c:pt>
                <c:pt idx="72">
                  <c:v>0.19</c:v>
                </c:pt>
                <c:pt idx="73">
                  <c:v>0.2</c:v>
                </c:pt>
                <c:pt idx="74">
                  <c:v>1.19</c:v>
                </c:pt>
                <c:pt idx="75">
                  <c:v>1.2</c:v>
                </c:pt>
                <c:pt idx="76">
                  <c:v>0.21</c:v>
                </c:pt>
                <c:pt idx="77">
                  <c:v>0</c:v>
                </c:pt>
                <c:pt idx="78">
                  <c:v>0.01</c:v>
                </c:pt>
                <c:pt idx="79">
                  <c:v>1.1279376648656667</c:v>
                </c:pt>
                <c:pt idx="80">
                  <c:v>2.5430138364112797E-2</c:v>
                </c:pt>
                <c:pt idx="81">
                  <c:v>9.3796011794291308E-3</c:v>
                </c:pt>
                <c:pt idx="82">
                  <c:v>1.2228854256838602</c:v>
                </c:pt>
                <c:pt idx="83">
                  <c:v>2.8268415785533504E-2</c:v>
                </c:pt>
                <c:pt idx="84">
                  <c:v>0.19030062862763389</c:v>
                </c:pt>
                <c:pt idx="85">
                  <c:v>0.18267002604187949</c:v>
                </c:pt>
                <c:pt idx="86">
                  <c:v>1.0933132242851178</c:v>
                </c:pt>
                <c:pt idx="87">
                  <c:v>0.20338713763001054</c:v>
                </c:pt>
                <c:pt idx="88">
                  <c:v>1.1179911160230873</c:v>
                </c:pt>
              </c:numCache>
            </c:numRef>
          </c:yVal>
          <c:smooth val="0"/>
          <c:extLst>
            <c:ext xmlns:c16="http://schemas.microsoft.com/office/drawing/2014/chart" uri="{C3380CC4-5D6E-409C-BE32-E72D297353CC}">
              <c16:uniqueId val="{00000000-D541-47C3-890B-47ADCD4958E5}"/>
            </c:ext>
          </c:extLst>
        </c:ser>
        <c:dLbls>
          <c:showLegendKey val="0"/>
          <c:showVal val="0"/>
          <c:showCatName val="0"/>
          <c:showSerName val="0"/>
          <c:showPercent val="0"/>
          <c:showBubbleSize val="0"/>
        </c:dLbls>
        <c:axId val="711761240"/>
        <c:axId val="711753368"/>
      </c:scatterChart>
      <c:valAx>
        <c:axId val="711761240"/>
        <c:scaling>
          <c:orientation val="minMax"/>
          <c:max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Preoperative</a:t>
                </a:r>
                <a:r>
                  <a:rPr lang="en-IE" baseline="0"/>
                  <a:t> nasal turbulence</a:t>
                </a:r>
                <a:endParaRPr lang="en-I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753368"/>
        <c:crosses val="autoZero"/>
        <c:crossBetween val="midCat"/>
        <c:majorUnit val="1"/>
      </c:valAx>
      <c:valAx>
        <c:axId val="711753368"/>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Postoperative</a:t>
                </a:r>
                <a:r>
                  <a:rPr lang="en-IE" baseline="0"/>
                  <a:t> nasal turbulence</a:t>
                </a:r>
                <a:endParaRPr lang="en-I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761240"/>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Nasal</a:t>
            </a:r>
            <a:r>
              <a:rPr lang="en-IE" baseline="0"/>
              <a:t> Emission</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'Jittered graphs'!$T$122:$T$210</c:f>
              <c:numCache>
                <c:formatCode>General</c:formatCode>
                <c:ptCount val="89"/>
                <c:pt idx="0">
                  <c:v>6.5510925641172222E-3</c:v>
                </c:pt>
                <c:pt idx="1">
                  <c:v>0.14522650674156434</c:v>
                </c:pt>
                <c:pt idx="2">
                  <c:v>7.7976468579650455E-3</c:v>
                </c:pt>
                <c:pt idx="3">
                  <c:v>8.279307426379337E-2</c:v>
                </c:pt>
                <c:pt idx="4">
                  <c:v>0.117940316312725</c:v>
                </c:pt>
                <c:pt idx="5">
                  <c:v>0.24558321541225547</c:v>
                </c:pt>
                <c:pt idx="6">
                  <c:v>6.4732645807550213E-2</c:v>
                </c:pt>
                <c:pt idx="7">
                  <c:v>0.22232372913062515</c:v>
                </c:pt>
                <c:pt idx="8">
                  <c:v>2.8385164588891919E-2</c:v>
                </c:pt>
                <c:pt idx="9">
                  <c:v>1.9653967923330271E-2</c:v>
                </c:pt>
                <c:pt idx="10">
                  <c:v>0.17924727420738085</c:v>
                </c:pt>
                <c:pt idx="11">
                  <c:v>0.23904203511325162</c:v>
                </c:pt>
                <c:pt idx="12">
                  <c:v>0.26306895494054627</c:v>
                </c:pt>
                <c:pt idx="13">
                  <c:v>0.12085647862714549</c:v>
                </c:pt>
                <c:pt idx="14">
                  <c:v>1.0728094787470577E-2</c:v>
                </c:pt>
                <c:pt idx="15">
                  <c:v>0.2155887718757426</c:v>
                </c:pt>
                <c:pt idx="16">
                  <c:v>0.21647706624692928</c:v>
                </c:pt>
                <c:pt idx="17">
                  <c:v>0.29265429897122963</c:v>
                </c:pt>
                <c:pt idx="18">
                  <c:v>0.1748965844706156</c:v>
                </c:pt>
                <c:pt idx="19">
                  <c:v>8.1833382348025178E-3</c:v>
                </c:pt>
                <c:pt idx="20">
                  <c:v>5.3886316961136473E-2</c:v>
                </c:pt>
                <c:pt idx="21">
                  <c:v>1.1786352409848577E-2</c:v>
                </c:pt>
                <c:pt idx="22">
                  <c:v>0.27244209231140737</c:v>
                </c:pt>
                <c:pt idx="23">
                  <c:v>0.2874257164245308</c:v>
                </c:pt>
                <c:pt idx="24">
                  <c:v>0.19400858296462473</c:v>
                </c:pt>
                <c:pt idx="25">
                  <c:v>0.18156936750709232</c:v>
                </c:pt>
                <c:pt idx="26">
                  <c:v>0.28176804924406756</c:v>
                </c:pt>
                <c:pt idx="27">
                  <c:v>0.27649061303871153</c:v>
                </c:pt>
                <c:pt idx="28">
                  <c:v>6.9214170745480988E-2</c:v>
                </c:pt>
                <c:pt idx="29">
                  <c:v>0.15051862746337924</c:v>
                </c:pt>
                <c:pt idx="30">
                  <c:v>0.22688245758914549</c:v>
                </c:pt>
                <c:pt idx="31">
                  <c:v>1.127559203273766</c:v>
                </c:pt>
                <c:pt idx="32">
                  <c:v>1.2325720928130703</c:v>
                </c:pt>
                <c:pt idx="33">
                  <c:v>1.1112688526943018</c:v>
                </c:pt>
                <c:pt idx="34">
                  <c:v>1.0115378873529928</c:v>
                </c:pt>
                <c:pt idx="35">
                  <c:v>1.0036870801452475</c:v>
                </c:pt>
                <c:pt idx="36">
                  <c:v>1.1948429622448202</c:v>
                </c:pt>
                <c:pt idx="37">
                  <c:v>1.2043125537898294</c:v>
                </c:pt>
                <c:pt idx="38">
                  <c:v>1.1824479219807043</c:v>
                </c:pt>
                <c:pt idx="39">
                  <c:v>1.0281007450631867</c:v>
                </c:pt>
                <c:pt idx="40">
                  <c:v>1.2925313660992066</c:v>
                </c:pt>
                <c:pt idx="41">
                  <c:v>1.0825522423313114</c:v>
                </c:pt>
                <c:pt idx="42">
                  <c:v>1.2316636511885179</c:v>
                </c:pt>
                <c:pt idx="43">
                  <c:v>1.0231178894734352</c:v>
                </c:pt>
                <c:pt idx="44">
                  <c:v>1.2769969186263537</c:v>
                </c:pt>
                <c:pt idx="45">
                  <c:v>1.1595842734774882</c:v>
                </c:pt>
                <c:pt idx="46">
                  <c:v>1.2695453820531761</c:v>
                </c:pt>
                <c:pt idx="47">
                  <c:v>1.2773203755734366</c:v>
                </c:pt>
                <c:pt idx="48">
                  <c:v>1.2887530882978591</c:v>
                </c:pt>
                <c:pt idx="49">
                  <c:v>1.0532599412879378</c:v>
                </c:pt>
                <c:pt idx="50">
                  <c:v>1.1103316281846405</c:v>
                </c:pt>
                <c:pt idx="51">
                  <c:v>1.0864651593233512</c:v>
                </c:pt>
                <c:pt idx="52">
                  <c:v>1.0272183442897087</c:v>
                </c:pt>
                <c:pt idx="53">
                  <c:v>1.2979933784370936</c:v>
                </c:pt>
                <c:pt idx="54">
                  <c:v>1.0378204033477842</c:v>
                </c:pt>
                <c:pt idx="55">
                  <c:v>1.2887871597539711</c:v>
                </c:pt>
                <c:pt idx="56">
                  <c:v>1.043532928598905</c:v>
                </c:pt>
                <c:pt idx="57">
                  <c:v>1.1218476810130535</c:v>
                </c:pt>
                <c:pt idx="58">
                  <c:v>1.2217529258441155</c:v>
                </c:pt>
                <c:pt idx="59">
                  <c:v>1.0524210921892339</c:v>
                </c:pt>
                <c:pt idx="60">
                  <c:v>1.0142991935920789</c:v>
                </c:pt>
                <c:pt idx="61">
                  <c:v>1.2032547930232369</c:v>
                </c:pt>
                <c:pt idx="62">
                  <c:v>1.2948749862963955</c:v>
                </c:pt>
                <c:pt idx="63">
                  <c:v>1.1088312154477047</c:v>
                </c:pt>
                <c:pt idx="64">
                  <c:v>1.0131891776708268</c:v>
                </c:pt>
                <c:pt idx="65">
                  <c:v>1.2153085068957286</c:v>
                </c:pt>
                <c:pt idx="66">
                  <c:v>1.1575413168868798</c:v>
                </c:pt>
                <c:pt idx="67">
                  <c:v>1.1111490323620679</c:v>
                </c:pt>
                <c:pt idx="68">
                  <c:v>1.0256392529410505</c:v>
                </c:pt>
                <c:pt idx="69">
                  <c:v>1.2349567775986694</c:v>
                </c:pt>
                <c:pt idx="70">
                  <c:v>1.2376478618081261</c:v>
                </c:pt>
                <c:pt idx="71">
                  <c:v>1.2827620422305022</c:v>
                </c:pt>
                <c:pt idx="72">
                  <c:v>1.1336611636581209</c:v>
                </c:pt>
                <c:pt idx="73">
                  <c:v>2.0639570007400199</c:v>
                </c:pt>
                <c:pt idx="74">
                  <c:v>2.2638398825240973</c:v>
                </c:pt>
                <c:pt idx="75">
                  <c:v>2.1865762089045178</c:v>
                </c:pt>
                <c:pt idx="76">
                  <c:v>2.1361642648274497</c:v>
                </c:pt>
                <c:pt idx="77">
                  <c:v>2.2151479689735178</c:v>
                </c:pt>
                <c:pt idx="78">
                  <c:v>2.1141838045402972</c:v>
                </c:pt>
                <c:pt idx="79">
                  <c:v>2.2206377123030037</c:v>
                </c:pt>
                <c:pt idx="80">
                  <c:v>2.02644771811647</c:v>
                </c:pt>
                <c:pt idx="81">
                  <c:v>2.0813073496187529</c:v>
                </c:pt>
                <c:pt idx="82">
                  <c:v>2.2999797761280929</c:v>
                </c:pt>
                <c:pt idx="83">
                  <c:v>2.2937023650763408</c:v>
                </c:pt>
                <c:pt idx="84">
                  <c:v>2.0510600220502391</c:v>
                </c:pt>
                <c:pt idx="85">
                  <c:v>2.1513251957119137</c:v>
                </c:pt>
                <c:pt idx="86">
                  <c:v>2.0172916385047905</c:v>
                </c:pt>
                <c:pt idx="87">
                  <c:v>2.0200474434187576</c:v>
                </c:pt>
                <c:pt idx="88">
                  <c:v>2.1390868780530323</c:v>
                </c:pt>
              </c:numCache>
            </c:numRef>
          </c:xVal>
          <c:yVal>
            <c:numRef>
              <c:f>'Jittered graphs'!$U$122:$U$210</c:f>
              <c:numCache>
                <c:formatCode>General</c:formatCode>
                <c:ptCount val="89"/>
                <c:pt idx="0">
                  <c:v>1</c:v>
                </c:pt>
                <c:pt idx="1">
                  <c:v>0</c:v>
                </c:pt>
                <c:pt idx="2">
                  <c:v>0.11</c:v>
                </c:pt>
                <c:pt idx="3">
                  <c:v>0.12</c:v>
                </c:pt>
                <c:pt idx="4">
                  <c:v>0.13</c:v>
                </c:pt>
                <c:pt idx="5">
                  <c:v>0.14000000000000001</c:v>
                </c:pt>
                <c:pt idx="6">
                  <c:v>0.15</c:v>
                </c:pt>
                <c:pt idx="7">
                  <c:v>0.16</c:v>
                </c:pt>
                <c:pt idx="8">
                  <c:v>0.17</c:v>
                </c:pt>
                <c:pt idx="9">
                  <c:v>1.1000000000000001</c:v>
                </c:pt>
                <c:pt idx="10">
                  <c:v>0.18</c:v>
                </c:pt>
                <c:pt idx="11">
                  <c:v>0.19</c:v>
                </c:pt>
                <c:pt idx="12">
                  <c:v>1.1100000000000001</c:v>
                </c:pt>
                <c:pt idx="13">
                  <c:v>0.2</c:v>
                </c:pt>
                <c:pt idx="14">
                  <c:v>0.01</c:v>
                </c:pt>
                <c:pt idx="15">
                  <c:v>0.02</c:v>
                </c:pt>
                <c:pt idx="16">
                  <c:v>0.03</c:v>
                </c:pt>
                <c:pt idx="17">
                  <c:v>0.04</c:v>
                </c:pt>
                <c:pt idx="18">
                  <c:v>1.1200000000000001</c:v>
                </c:pt>
                <c:pt idx="19">
                  <c:v>0.05</c:v>
                </c:pt>
                <c:pt idx="20">
                  <c:v>0.06</c:v>
                </c:pt>
                <c:pt idx="21">
                  <c:v>7.0000000000000007E-2</c:v>
                </c:pt>
                <c:pt idx="22">
                  <c:v>0.08</c:v>
                </c:pt>
                <c:pt idx="23">
                  <c:v>0.09</c:v>
                </c:pt>
                <c:pt idx="24">
                  <c:v>0.2</c:v>
                </c:pt>
                <c:pt idx="25">
                  <c:v>1.1299999999999999</c:v>
                </c:pt>
                <c:pt idx="26">
                  <c:v>1.1399999999999999</c:v>
                </c:pt>
                <c:pt idx="27">
                  <c:v>0.21</c:v>
                </c:pt>
                <c:pt idx="28">
                  <c:v>0.22</c:v>
                </c:pt>
                <c:pt idx="29">
                  <c:v>0.23</c:v>
                </c:pt>
                <c:pt idx="30">
                  <c:v>0.24</c:v>
                </c:pt>
                <c:pt idx="31">
                  <c:v>0</c:v>
                </c:pt>
                <c:pt idx="32">
                  <c:v>0.01</c:v>
                </c:pt>
                <c:pt idx="33">
                  <c:v>0.02</c:v>
                </c:pt>
                <c:pt idx="34">
                  <c:v>0.03</c:v>
                </c:pt>
                <c:pt idx="35">
                  <c:v>0.04</c:v>
                </c:pt>
                <c:pt idx="36">
                  <c:v>0.05</c:v>
                </c:pt>
                <c:pt idx="37">
                  <c:v>0.06</c:v>
                </c:pt>
                <c:pt idx="38">
                  <c:v>7.0000000000000007E-2</c:v>
                </c:pt>
                <c:pt idx="39">
                  <c:v>1</c:v>
                </c:pt>
                <c:pt idx="40">
                  <c:v>0.08</c:v>
                </c:pt>
                <c:pt idx="41">
                  <c:v>0.09</c:v>
                </c:pt>
                <c:pt idx="42">
                  <c:v>1.1000000000000001</c:v>
                </c:pt>
                <c:pt idx="43">
                  <c:v>0.1</c:v>
                </c:pt>
                <c:pt idx="44">
                  <c:v>0.11</c:v>
                </c:pt>
                <c:pt idx="45">
                  <c:v>0.12</c:v>
                </c:pt>
                <c:pt idx="46">
                  <c:v>0.13</c:v>
                </c:pt>
                <c:pt idx="47">
                  <c:v>0.14000000000000001</c:v>
                </c:pt>
                <c:pt idx="48">
                  <c:v>0.15</c:v>
                </c:pt>
                <c:pt idx="49">
                  <c:v>0.16</c:v>
                </c:pt>
                <c:pt idx="50">
                  <c:v>2</c:v>
                </c:pt>
                <c:pt idx="51">
                  <c:v>1.1100000000000001</c:v>
                </c:pt>
                <c:pt idx="52">
                  <c:v>0.17</c:v>
                </c:pt>
                <c:pt idx="53">
                  <c:v>1.1200000000000001</c:v>
                </c:pt>
                <c:pt idx="54">
                  <c:v>0.18</c:v>
                </c:pt>
                <c:pt idx="55">
                  <c:v>0.19</c:v>
                </c:pt>
                <c:pt idx="56">
                  <c:v>1.1299999999999999</c:v>
                </c:pt>
                <c:pt idx="57">
                  <c:v>0.2</c:v>
                </c:pt>
                <c:pt idx="58">
                  <c:v>0.21</c:v>
                </c:pt>
                <c:pt idx="59">
                  <c:v>0.222</c:v>
                </c:pt>
                <c:pt idx="60">
                  <c:v>0.23</c:v>
                </c:pt>
                <c:pt idx="61">
                  <c:v>0.24</c:v>
                </c:pt>
                <c:pt idx="62">
                  <c:v>0.25</c:v>
                </c:pt>
                <c:pt idx="63">
                  <c:v>0.26</c:v>
                </c:pt>
                <c:pt idx="64">
                  <c:v>1.1399999999999999</c:v>
                </c:pt>
                <c:pt idx="65">
                  <c:v>1.1499999999999999</c:v>
                </c:pt>
                <c:pt idx="66">
                  <c:v>0.27</c:v>
                </c:pt>
                <c:pt idx="67">
                  <c:v>0.28000000000000003</c:v>
                </c:pt>
                <c:pt idx="68">
                  <c:v>0.28999999999999998</c:v>
                </c:pt>
                <c:pt idx="69">
                  <c:v>0.3</c:v>
                </c:pt>
                <c:pt idx="70">
                  <c:v>1.1599999999999999</c:v>
                </c:pt>
                <c:pt idx="71">
                  <c:v>0.31</c:v>
                </c:pt>
                <c:pt idx="72">
                  <c:v>1.17</c:v>
                </c:pt>
                <c:pt idx="73">
                  <c:v>1</c:v>
                </c:pt>
                <c:pt idx="74">
                  <c:v>0</c:v>
                </c:pt>
                <c:pt idx="75">
                  <c:v>0.01</c:v>
                </c:pt>
                <c:pt idx="76">
                  <c:v>0.02</c:v>
                </c:pt>
                <c:pt idx="77">
                  <c:v>0.03</c:v>
                </c:pt>
                <c:pt idx="78">
                  <c:v>0.04</c:v>
                </c:pt>
                <c:pt idx="79">
                  <c:v>1</c:v>
                </c:pt>
                <c:pt idx="80">
                  <c:v>0.05</c:v>
                </c:pt>
                <c:pt idx="81">
                  <c:v>0.06</c:v>
                </c:pt>
                <c:pt idx="82">
                  <c:v>1.1000000000000001</c:v>
                </c:pt>
                <c:pt idx="83">
                  <c:v>1.1100000000000001</c:v>
                </c:pt>
                <c:pt idx="84">
                  <c:v>7.0000000000000007E-2</c:v>
                </c:pt>
                <c:pt idx="85">
                  <c:v>0.08</c:v>
                </c:pt>
                <c:pt idx="86">
                  <c:v>0.09</c:v>
                </c:pt>
                <c:pt idx="87">
                  <c:v>0.1</c:v>
                </c:pt>
                <c:pt idx="88">
                  <c:v>2</c:v>
                </c:pt>
              </c:numCache>
            </c:numRef>
          </c:yVal>
          <c:smooth val="0"/>
          <c:extLst>
            <c:ext xmlns:c16="http://schemas.microsoft.com/office/drawing/2014/chart" uri="{C3380CC4-5D6E-409C-BE32-E72D297353CC}">
              <c16:uniqueId val="{00000000-A178-4060-93E1-92A55F83F872}"/>
            </c:ext>
          </c:extLst>
        </c:ser>
        <c:dLbls>
          <c:showLegendKey val="0"/>
          <c:showVal val="0"/>
          <c:showCatName val="0"/>
          <c:showSerName val="0"/>
          <c:showPercent val="0"/>
          <c:showBubbleSize val="0"/>
        </c:dLbls>
        <c:axId val="701795216"/>
        <c:axId val="701804072"/>
      </c:scatterChart>
      <c:valAx>
        <c:axId val="701795216"/>
        <c:scaling>
          <c:orientation val="minMax"/>
          <c:max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Preoperative nasal emission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804072"/>
        <c:crosses val="autoZero"/>
        <c:crossBetween val="midCat"/>
        <c:majorUnit val="1"/>
      </c:valAx>
      <c:valAx>
        <c:axId val="701804072"/>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Postoperative nasal emission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795216"/>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'Hypernasality changes'!$M$3</c:f>
              <c:strCache>
                <c:ptCount val="1"/>
                <c:pt idx="0">
                  <c:v>Preop</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'Hypernasality changes'!$L$4:$L$8</c:f>
              <c:strCache>
                <c:ptCount val="5"/>
                <c:pt idx="0">
                  <c:v>0</c:v>
                </c:pt>
                <c:pt idx="1">
                  <c:v>0-1</c:v>
                </c:pt>
                <c:pt idx="2">
                  <c:v>1</c:v>
                </c:pt>
                <c:pt idx="3">
                  <c:v>2</c:v>
                </c:pt>
                <c:pt idx="4">
                  <c:v>3</c:v>
                </c:pt>
              </c:strCache>
            </c:strRef>
          </c:cat>
          <c:val>
            <c:numRef>
              <c:f>'Hypernasality changes'!$M$4:$M$8</c:f>
              <c:numCache>
                <c:formatCode>General</c:formatCode>
                <c:ptCount val="5"/>
                <c:pt idx="0">
                  <c:v>10</c:v>
                </c:pt>
                <c:pt idx="1">
                  <c:v>14</c:v>
                </c:pt>
                <c:pt idx="2">
                  <c:v>14</c:v>
                </c:pt>
                <c:pt idx="3">
                  <c:v>25</c:v>
                </c:pt>
                <c:pt idx="4">
                  <c:v>33</c:v>
                </c:pt>
              </c:numCache>
            </c:numRef>
          </c:val>
          <c:extLst>
            <c:ext xmlns:c16="http://schemas.microsoft.com/office/drawing/2014/chart" uri="{C3380CC4-5D6E-409C-BE32-E72D297353CC}">
              <c16:uniqueId val="{00000000-A37D-40B4-9BC6-0338DB05D799}"/>
            </c:ext>
          </c:extLst>
        </c:ser>
        <c:ser>
          <c:idx val="1"/>
          <c:order val="1"/>
          <c:tx>
            <c:strRef>
              <c:f>'Hypernasality changes'!$N$3</c:f>
              <c:strCache>
                <c:ptCount val="1"/>
                <c:pt idx="0">
                  <c:v>Postop</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'Hypernasality changes'!$L$4:$L$8</c:f>
              <c:strCache>
                <c:ptCount val="5"/>
                <c:pt idx="0">
                  <c:v>0</c:v>
                </c:pt>
                <c:pt idx="1">
                  <c:v>0-1</c:v>
                </c:pt>
                <c:pt idx="2">
                  <c:v>1</c:v>
                </c:pt>
                <c:pt idx="3">
                  <c:v>2</c:v>
                </c:pt>
                <c:pt idx="4">
                  <c:v>3</c:v>
                </c:pt>
              </c:strCache>
            </c:strRef>
          </c:cat>
          <c:val>
            <c:numRef>
              <c:f>'Hypernasality changes'!$N$4:$N$8</c:f>
              <c:numCache>
                <c:formatCode>General</c:formatCode>
                <c:ptCount val="5"/>
                <c:pt idx="0">
                  <c:v>57</c:v>
                </c:pt>
                <c:pt idx="1">
                  <c:v>16</c:v>
                </c:pt>
                <c:pt idx="2">
                  <c:v>7</c:v>
                </c:pt>
                <c:pt idx="3">
                  <c:v>9</c:v>
                </c:pt>
                <c:pt idx="4">
                  <c:v>6</c:v>
                </c:pt>
              </c:numCache>
            </c:numRef>
          </c:val>
          <c:extLst>
            <c:ext xmlns:c16="http://schemas.microsoft.com/office/drawing/2014/chart" uri="{C3380CC4-5D6E-409C-BE32-E72D297353CC}">
              <c16:uniqueId val="{00000001-A37D-40B4-9BC6-0338DB05D799}"/>
            </c:ext>
          </c:extLst>
        </c:ser>
        <c:dLbls>
          <c:dLblPos val="outEnd"/>
          <c:showLegendKey val="0"/>
          <c:showVal val="1"/>
          <c:showCatName val="0"/>
          <c:showSerName val="0"/>
          <c:showPercent val="0"/>
          <c:showBubbleSize val="0"/>
        </c:dLbls>
        <c:gapWidth val="219"/>
        <c:overlap val="-27"/>
        <c:axId val="731860832"/>
        <c:axId val="731861816"/>
      </c:barChart>
      <c:catAx>
        <c:axId val="73186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861816"/>
        <c:crosses val="autoZero"/>
        <c:auto val="1"/>
        <c:lblAlgn val="ctr"/>
        <c:lblOffset val="100"/>
        <c:noMultiLvlLbl val="0"/>
      </c:catAx>
      <c:valAx>
        <c:axId val="73186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86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5883-4074-B311-AC986B85A1F2}"/>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5883-4074-B311-AC986B85A1F2}"/>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5883-4074-B311-AC986B85A1F2}"/>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5883-4074-B311-AC986B85A1F2}"/>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5883-4074-B311-AC986B85A1F2}"/>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'Hypernasality changes'!$L$12:$L$16</c:f>
              <c:strCache>
                <c:ptCount val="5"/>
                <c:pt idx="0">
                  <c:v>Score 0</c:v>
                </c:pt>
                <c:pt idx="1">
                  <c:v>Score 0-1</c:v>
                </c:pt>
                <c:pt idx="2">
                  <c:v>Score 1</c:v>
                </c:pt>
                <c:pt idx="3">
                  <c:v>Score 2</c:v>
                </c:pt>
                <c:pt idx="4">
                  <c:v>Score 3</c:v>
                </c:pt>
              </c:strCache>
            </c:strRef>
          </c:cat>
          <c:val>
            <c:numRef>
              <c:f>'Hypernasality changes'!$M$12:$M$16</c:f>
              <c:numCache>
                <c:formatCode>General</c:formatCode>
                <c:ptCount val="5"/>
                <c:pt idx="0">
                  <c:v>10.416666666666668</c:v>
                </c:pt>
                <c:pt idx="1">
                  <c:v>14.583333333333334</c:v>
                </c:pt>
                <c:pt idx="2">
                  <c:v>14.583333333333334</c:v>
                </c:pt>
                <c:pt idx="3">
                  <c:v>26.041666666666668</c:v>
                </c:pt>
                <c:pt idx="4">
                  <c:v>34.375</c:v>
                </c:pt>
              </c:numCache>
            </c:numRef>
          </c:val>
          <c:extLst>
            <c:ext xmlns:c16="http://schemas.microsoft.com/office/drawing/2014/chart" uri="{C3380CC4-5D6E-409C-BE32-E72D297353CC}">
              <c16:uniqueId val="{0000000A-5883-4074-B311-AC986B85A1F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F817-4612-AA95-81532D4B2E09}"/>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F817-4612-AA95-81532D4B2E09}"/>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F817-4612-AA95-81532D4B2E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17-4612-AA95-81532D4B2E09}"/>
              </c:ext>
            </c:extLst>
          </c:dPt>
          <c:dPt>
            <c:idx val="4"/>
            <c:bubble3D val="0"/>
            <c:spPr>
              <a:solidFill>
                <a:srgbClr val="FF0000"/>
              </a:solidFill>
              <a:ln w="19050">
                <a:solidFill>
                  <a:schemeClr val="lt1"/>
                </a:solidFill>
              </a:ln>
              <a:effectLst/>
            </c:spPr>
            <c:extLst>
              <c:ext xmlns:c16="http://schemas.microsoft.com/office/drawing/2014/chart" uri="{C3380CC4-5D6E-409C-BE32-E72D297353CC}">
                <c16:uniqueId val="{00000009-F817-4612-AA95-81532D4B2E0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'Hypernasality changes'!$L$21:$L$25</c:f>
              <c:strCache>
                <c:ptCount val="5"/>
                <c:pt idx="0">
                  <c:v>Score 0</c:v>
                </c:pt>
                <c:pt idx="1">
                  <c:v>Score 0-1</c:v>
                </c:pt>
                <c:pt idx="2">
                  <c:v>Score 1</c:v>
                </c:pt>
                <c:pt idx="3">
                  <c:v>Score 2</c:v>
                </c:pt>
                <c:pt idx="4">
                  <c:v>Score 3</c:v>
                </c:pt>
              </c:strCache>
            </c:strRef>
          </c:cat>
          <c:val>
            <c:numRef>
              <c:f>'Hypernasality changes'!$M$21:$M$25</c:f>
              <c:numCache>
                <c:formatCode>General</c:formatCode>
                <c:ptCount val="5"/>
                <c:pt idx="0">
                  <c:v>59.375</c:v>
                </c:pt>
                <c:pt idx="1">
                  <c:v>16.666666666666664</c:v>
                </c:pt>
                <c:pt idx="2">
                  <c:v>7.291666666666667</c:v>
                </c:pt>
                <c:pt idx="3">
                  <c:v>9.375</c:v>
                </c:pt>
                <c:pt idx="4">
                  <c:v>6.25</c:v>
                </c:pt>
              </c:numCache>
            </c:numRef>
          </c:val>
          <c:extLst>
            <c:ext xmlns:c16="http://schemas.microsoft.com/office/drawing/2014/chart" uri="{C3380CC4-5D6E-409C-BE32-E72D297353CC}">
              <c16:uniqueId val="{0000000A-F817-4612-AA95-81532D4B2E0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BAOMS bursary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737869-DDD5-4930-BB57-08E3751D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25156</Words>
  <Characters>143393</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Title:  Re-repair of cleft palates – an evaluation of postoperative outcomes.
Student: Mairéad Kelly
Supervisor: Miss Victoria Beale</vt:lpstr>
    </vt:vector>
  </TitlesOfParts>
  <Company/>
  <LinksUpToDate>false</LinksUpToDate>
  <CharactersWithSpaces>168213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Re-repair of cleft palates – an evaluation of postoperative outcomes.
Bursary recipient: Mairéad Kelly
Supervisor: Miss Marnie Fullarton</dc:title>
  <dc:subject/>
  <dc:creator>Mairéad Kelly</dc:creator>
  <cp:keywords/>
  <dc:description/>
  <cp:lastModifiedBy>Mairéad Kelly</cp:lastModifiedBy>
  <cp:revision>3</cp:revision>
  <dcterms:created xsi:type="dcterms:W3CDTF">2023-03-14T17:48:00Z</dcterms:created>
  <dcterms:modified xsi:type="dcterms:W3CDTF">2023-03-14T17:51:00Z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7df5c9a2-09ea-38f8-ac4b-498f9fdb30e5</vt:lpwstr>
  </property>
  <property fmtid="{D5CDD505-2E9C-101B-9397-08002B2CF9AE}" pid="24" name="Mendeley Citation Style_1">
    <vt:lpwstr>http://www.zotero.org/styles/american-medical-association</vt:lpwstr>
  </property>
</Properties>
</file>